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D3E0BA" w14:textId="61D2D7E5" w:rsidR="00B2038B" w:rsidRPr="0052548E" w:rsidRDefault="00C40295" w:rsidP="00B2038B">
      <w:pPr>
        <w:tabs>
          <w:tab w:val="center" w:pos="4536"/>
          <w:tab w:val="right" w:pos="8280"/>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B2038B" w:rsidRPr="0052548E">
        <w:rPr>
          <w:rFonts w:ascii="Arial" w:hAnsi="Arial" w:cs="Arial"/>
          <w:b/>
          <w:bCs/>
          <w:sz w:val="28"/>
        </w:rPr>
        <w:t xml:space="preserve">3GPP TSG RAN WG1 </w:t>
      </w:r>
      <w:r w:rsidR="004C7DCB">
        <w:rPr>
          <w:rFonts w:ascii="Arial" w:hAnsi="Arial" w:cs="Arial"/>
          <w:b/>
          <w:bCs/>
          <w:sz w:val="28"/>
        </w:rPr>
        <w:t>#103-e</w:t>
      </w:r>
      <w:r w:rsidR="004C7DCB">
        <w:rPr>
          <w:rFonts w:ascii="Arial" w:hAnsi="Arial" w:cs="Arial"/>
          <w:b/>
          <w:bCs/>
          <w:sz w:val="28"/>
        </w:rPr>
        <w:tab/>
      </w:r>
      <w:r w:rsidR="004C7DCB">
        <w:rPr>
          <w:rFonts w:ascii="Arial" w:hAnsi="Arial" w:cs="Arial"/>
          <w:b/>
          <w:bCs/>
          <w:sz w:val="28"/>
        </w:rPr>
        <w:tab/>
        <w:t>R1-2009145</w:t>
      </w:r>
    </w:p>
    <w:p w14:paraId="206103C2" w14:textId="77777777" w:rsidR="00B2038B" w:rsidRPr="009513AC" w:rsidRDefault="00B2038B" w:rsidP="00B2038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26</w:t>
      </w:r>
      <w:r w:rsidRPr="003B403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November 13</w:t>
      </w:r>
      <w:r w:rsidRPr="003B4031">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54A3A379" w14:textId="42712637" w:rsidR="00EA7B6F" w:rsidRPr="00DC313B" w:rsidRDefault="00EA7B6F" w:rsidP="00B2038B">
      <w:pPr>
        <w:tabs>
          <w:tab w:val="center" w:pos="4536"/>
          <w:tab w:val="right" w:pos="8280"/>
          <w:tab w:val="right" w:pos="9639"/>
        </w:tabs>
        <w:ind w:right="2"/>
        <w:rPr>
          <w:rFonts w:eastAsia="MS PGothic"/>
          <w:b/>
          <w:lang w:eastAsia="zh-CN"/>
        </w:rPr>
      </w:pPr>
      <w:r w:rsidRPr="00DC313B">
        <w:rPr>
          <w:b/>
        </w:rPr>
        <w:t>Agenda Item</w:t>
      </w:r>
      <w:bookmarkEnd w:id="0"/>
      <w:r>
        <w:rPr>
          <w:b/>
        </w:rPr>
        <w:t>:     8.1.2.4</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53955AF5"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5941D4" w:rsidRPr="005941D4">
        <w:rPr>
          <w:b/>
        </w:rPr>
        <w:t>Discussion on enhancements on HST-SFN deployment</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7D053201" w14:textId="77777777" w:rsidR="00EA7B6F" w:rsidRDefault="00EA7B6F" w:rsidP="00EA7B6F">
      <w:pPr>
        <w:pStyle w:val="1"/>
        <w:jc w:val="left"/>
        <w:rPr>
          <w:lang w:eastAsia="zh-CN"/>
        </w:rPr>
      </w:pPr>
      <w:r>
        <w:rPr>
          <w:lang w:eastAsia="zh-CN"/>
        </w:rPr>
        <w:t>Introduction</w:t>
      </w:r>
    </w:p>
    <w:p w14:paraId="2AD7F1A0" w14:textId="7040B4AA" w:rsidR="00893B74" w:rsidRDefault="00893B74" w:rsidP="00893B74">
      <w:pPr>
        <w:tabs>
          <w:tab w:val="center" w:pos="4536"/>
          <w:tab w:val="right" w:pos="8280"/>
          <w:tab w:val="right" w:pos="9639"/>
        </w:tabs>
        <w:ind w:right="2"/>
        <w:rPr>
          <w:lang w:eastAsia="zh-CN"/>
        </w:rPr>
      </w:pPr>
      <w:r>
        <w:rPr>
          <w:rFonts w:hint="eastAsia"/>
          <w:lang w:eastAsia="zh-CN"/>
        </w:rPr>
        <w:t>In RAN1#102</w:t>
      </w:r>
      <w:r>
        <w:rPr>
          <w:lang w:eastAsia="zh-CN"/>
        </w:rPr>
        <w:t>e, the following agreement</w:t>
      </w:r>
      <w:r w:rsidR="005007D8">
        <w:rPr>
          <w:lang w:eastAsia="zh-CN"/>
        </w:rPr>
        <w:t xml:space="preserve"> on HST-SFN deployment</w:t>
      </w:r>
      <w:r>
        <w:rPr>
          <w:lang w:eastAsia="zh-CN"/>
        </w:rPr>
        <w:t xml:space="preserve"> was achieved: [1]</w:t>
      </w:r>
    </w:p>
    <w:p w14:paraId="7CC69B4B" w14:textId="77777777" w:rsidR="00893B74" w:rsidRPr="00BE6387" w:rsidRDefault="00893B74" w:rsidP="00893B74">
      <w:pPr>
        <w:rPr>
          <w:rFonts w:cs="Times"/>
          <w:szCs w:val="20"/>
        </w:rPr>
      </w:pPr>
      <w:r w:rsidRPr="00BE6387">
        <w:rPr>
          <w:rFonts w:cs="Times"/>
          <w:szCs w:val="20"/>
          <w:highlight w:val="green"/>
        </w:rPr>
        <w:t>Agreement</w:t>
      </w:r>
    </w:p>
    <w:p w14:paraId="6A40810F" w14:textId="77777777" w:rsidR="00893B74" w:rsidRDefault="00893B74" w:rsidP="00893B74">
      <w:pPr>
        <w:rPr>
          <w:rFonts w:cs="Times"/>
          <w:szCs w:val="20"/>
        </w:rPr>
      </w:pPr>
      <w:r>
        <w:rPr>
          <w:rFonts w:cs="Times"/>
          <w:szCs w:val="20"/>
        </w:rPr>
        <w:t>For the discussion purpose consider the following categorization of the enhanced DL transmission schemes</w:t>
      </w:r>
    </w:p>
    <w:p w14:paraId="47A3FD2E" w14:textId="77777777" w:rsidR="00893B74" w:rsidRDefault="00893B74" w:rsidP="00893B74">
      <w:pPr>
        <w:pStyle w:val="af3"/>
        <w:numPr>
          <w:ilvl w:val="0"/>
          <w:numId w:val="61"/>
        </w:numPr>
        <w:autoSpaceDE/>
        <w:autoSpaceDN/>
        <w:adjustRightInd/>
        <w:snapToGrid/>
        <w:spacing w:after="0" w:line="256" w:lineRule="auto"/>
        <w:ind w:firstLineChars="0"/>
        <w:contextualSpacing/>
        <w:jc w:val="left"/>
        <w:rPr>
          <w:rFonts w:cs="Times"/>
        </w:rPr>
      </w:pPr>
      <w:r>
        <w:rPr>
          <w:rFonts w:cs="Times"/>
          <w:b/>
          <w:bCs/>
        </w:rPr>
        <w:t>Scheme 1</w:t>
      </w:r>
      <w:r>
        <w:rPr>
          <w:rFonts w:cs="Times"/>
        </w:rPr>
        <w:t xml:space="preserve">: </w:t>
      </w:r>
    </w:p>
    <w:p w14:paraId="7934BAA7" w14:textId="77777777" w:rsidR="00893B74" w:rsidRDefault="00893B74" w:rsidP="00893B74">
      <w:pPr>
        <w:pStyle w:val="af3"/>
        <w:numPr>
          <w:ilvl w:val="1"/>
          <w:numId w:val="61"/>
        </w:numPr>
        <w:autoSpaceDE/>
        <w:autoSpaceDN/>
        <w:adjustRightInd/>
        <w:snapToGrid/>
        <w:spacing w:after="0" w:line="256" w:lineRule="auto"/>
        <w:ind w:firstLineChars="0"/>
        <w:contextualSpacing/>
        <w:jc w:val="left"/>
        <w:rPr>
          <w:rFonts w:cs="Times"/>
        </w:rPr>
      </w:pPr>
      <w:r>
        <w:rPr>
          <w:rFonts w:cs="Times"/>
        </w:rPr>
        <w:t>TRS is transmitted in TRP-specific / non-SFN manner</w:t>
      </w:r>
    </w:p>
    <w:p w14:paraId="76E99CEA" w14:textId="77777777" w:rsidR="00893B74" w:rsidRDefault="00893B74" w:rsidP="00893B74">
      <w:pPr>
        <w:pStyle w:val="af3"/>
        <w:numPr>
          <w:ilvl w:val="1"/>
          <w:numId w:val="61"/>
        </w:numPr>
        <w:autoSpaceDE/>
        <w:autoSpaceDN/>
        <w:adjustRightInd/>
        <w:snapToGrid/>
        <w:spacing w:after="0" w:line="256" w:lineRule="auto"/>
        <w:ind w:firstLineChars="0"/>
        <w:contextualSpacing/>
        <w:jc w:val="left"/>
        <w:rPr>
          <w:rFonts w:cs="Times"/>
        </w:rPr>
      </w:pPr>
      <w:r>
        <w:rPr>
          <w:rFonts w:cs="Times"/>
        </w:rPr>
        <w:t>DM-RS and PDCCH/PDSCH from TRPs are transmitted in SFN manner</w:t>
      </w:r>
    </w:p>
    <w:p w14:paraId="7B35ADC6" w14:textId="77777777" w:rsidR="00893B74" w:rsidRDefault="00893B74" w:rsidP="00893B74">
      <w:pPr>
        <w:pStyle w:val="af3"/>
        <w:numPr>
          <w:ilvl w:val="0"/>
          <w:numId w:val="61"/>
        </w:numPr>
        <w:autoSpaceDE/>
        <w:autoSpaceDN/>
        <w:adjustRightInd/>
        <w:snapToGrid/>
        <w:spacing w:after="0" w:line="256" w:lineRule="auto"/>
        <w:ind w:firstLineChars="0"/>
        <w:contextualSpacing/>
        <w:jc w:val="left"/>
        <w:rPr>
          <w:rFonts w:cs="Times"/>
        </w:rPr>
      </w:pPr>
      <w:r>
        <w:rPr>
          <w:rFonts w:cs="Times"/>
          <w:b/>
          <w:bCs/>
        </w:rPr>
        <w:t>Scheme 2</w:t>
      </w:r>
      <w:r>
        <w:rPr>
          <w:rFonts w:cs="Times"/>
        </w:rPr>
        <w:t xml:space="preserve">: </w:t>
      </w:r>
    </w:p>
    <w:p w14:paraId="55586D01" w14:textId="77777777" w:rsidR="00893B74" w:rsidRDefault="00893B74" w:rsidP="00893B74">
      <w:pPr>
        <w:pStyle w:val="af3"/>
        <w:numPr>
          <w:ilvl w:val="1"/>
          <w:numId w:val="61"/>
        </w:numPr>
        <w:autoSpaceDE/>
        <w:autoSpaceDN/>
        <w:adjustRightInd/>
        <w:snapToGrid/>
        <w:spacing w:after="0" w:line="256" w:lineRule="auto"/>
        <w:ind w:firstLineChars="0"/>
        <w:contextualSpacing/>
        <w:jc w:val="left"/>
        <w:rPr>
          <w:rFonts w:cs="Times"/>
        </w:rPr>
      </w:pPr>
      <w:r>
        <w:rPr>
          <w:rFonts w:cs="Times"/>
        </w:rPr>
        <w:t>TRS and DM-RS are transmitted in TRP-specific / non-SFN manner</w:t>
      </w:r>
    </w:p>
    <w:p w14:paraId="7C6EDDA5" w14:textId="66C2FF4A" w:rsidR="00893B74" w:rsidRPr="005531D0" w:rsidRDefault="00893B74" w:rsidP="00893B74">
      <w:pPr>
        <w:pStyle w:val="af3"/>
        <w:numPr>
          <w:ilvl w:val="1"/>
          <w:numId w:val="61"/>
        </w:numPr>
        <w:autoSpaceDE/>
        <w:autoSpaceDN/>
        <w:adjustRightInd/>
        <w:snapToGrid/>
        <w:spacing w:after="0" w:line="256" w:lineRule="auto"/>
        <w:ind w:firstLineChars="0"/>
        <w:contextualSpacing/>
        <w:jc w:val="left"/>
        <w:rPr>
          <w:rFonts w:cs="Times"/>
        </w:rPr>
      </w:pPr>
      <w:r>
        <w:rPr>
          <w:rFonts w:cs="Times"/>
        </w:rPr>
        <w:t>PDSCH from TRPs is transmitted in SFN manner</w:t>
      </w:r>
    </w:p>
    <w:p w14:paraId="4439EDDD" w14:textId="77777777" w:rsidR="00893B74" w:rsidRPr="00BE6387" w:rsidRDefault="00893B74" w:rsidP="00893B74">
      <w:pPr>
        <w:rPr>
          <w:rFonts w:cs="Times"/>
          <w:szCs w:val="20"/>
        </w:rPr>
      </w:pPr>
      <w:r w:rsidRPr="00BE6387">
        <w:rPr>
          <w:rFonts w:cs="Times"/>
          <w:szCs w:val="20"/>
          <w:highlight w:val="green"/>
        </w:rPr>
        <w:t>Agreement</w:t>
      </w:r>
    </w:p>
    <w:p w14:paraId="7D6718EA" w14:textId="77777777" w:rsidR="00893B74" w:rsidRDefault="00893B74" w:rsidP="00893B74">
      <w:pPr>
        <w:pStyle w:val="af3"/>
        <w:ind w:firstLine="440"/>
        <w:rPr>
          <w:rFonts w:eastAsia="Malgun Gothic" w:cs="Times"/>
          <w:lang w:eastAsia="zh-CN"/>
        </w:rPr>
      </w:pPr>
      <w:r>
        <w:rPr>
          <w:rFonts w:eastAsia="Malgun Gothic" w:cs="Times"/>
          <w:lang w:eastAsia="zh-CN"/>
        </w:rPr>
        <w:t>Study the following aspects of the enhanced transmission schemes:</w:t>
      </w:r>
    </w:p>
    <w:p w14:paraId="7733BCD8" w14:textId="77777777" w:rsidR="00893B74" w:rsidRDefault="00893B74" w:rsidP="00893B74">
      <w:pPr>
        <w:pStyle w:val="af3"/>
        <w:numPr>
          <w:ilvl w:val="0"/>
          <w:numId w:val="61"/>
        </w:numPr>
        <w:autoSpaceDE/>
        <w:autoSpaceDN/>
        <w:adjustRightInd/>
        <w:snapToGrid/>
        <w:spacing w:after="0" w:line="256" w:lineRule="auto"/>
        <w:ind w:firstLineChars="0"/>
        <w:contextualSpacing/>
        <w:jc w:val="left"/>
        <w:rPr>
          <w:rFonts w:eastAsia="Batang" w:cs="Times"/>
        </w:rPr>
      </w:pPr>
      <w:r>
        <w:rPr>
          <w:rFonts w:cs="Times"/>
          <w:b/>
          <w:bCs/>
        </w:rPr>
        <w:t>For scheme 1</w:t>
      </w:r>
      <w:r>
        <w:rPr>
          <w:rFonts w:cs="Times"/>
        </w:rPr>
        <w:t xml:space="preserve">: </w:t>
      </w:r>
    </w:p>
    <w:p w14:paraId="16E0A3C8" w14:textId="77777777" w:rsidR="00893B74" w:rsidRDefault="00893B74" w:rsidP="00893B74">
      <w:pPr>
        <w:pStyle w:val="af3"/>
        <w:numPr>
          <w:ilvl w:val="1"/>
          <w:numId w:val="61"/>
        </w:numPr>
        <w:autoSpaceDE/>
        <w:autoSpaceDN/>
        <w:adjustRightInd/>
        <w:snapToGrid/>
        <w:spacing w:after="0" w:line="256" w:lineRule="auto"/>
        <w:ind w:firstLineChars="0"/>
        <w:contextualSpacing/>
        <w:jc w:val="left"/>
        <w:rPr>
          <w:rFonts w:cs="Times"/>
        </w:rPr>
      </w:pPr>
      <w:r>
        <w:rPr>
          <w:rFonts w:cs="Times"/>
        </w:rPr>
        <w:t>Target DL physical channels, i.e., PDSCH only or PDSCH + PDCCH</w:t>
      </w:r>
    </w:p>
    <w:p w14:paraId="42F7E621" w14:textId="77777777" w:rsidR="00893B74" w:rsidRDefault="00893B74" w:rsidP="00893B74">
      <w:pPr>
        <w:pStyle w:val="af3"/>
        <w:numPr>
          <w:ilvl w:val="1"/>
          <w:numId w:val="61"/>
        </w:numPr>
        <w:autoSpaceDE/>
        <w:autoSpaceDN/>
        <w:adjustRightInd/>
        <w:snapToGrid/>
        <w:spacing w:after="0" w:line="256" w:lineRule="auto"/>
        <w:ind w:firstLineChars="0"/>
        <w:contextualSpacing/>
        <w:jc w:val="left"/>
        <w:rPr>
          <w:rFonts w:cs="Times"/>
        </w:rPr>
      </w:pPr>
      <w:r>
        <w:rPr>
          <w:rFonts w:eastAsia="Malgun Gothic" w:cs="Times"/>
          <w:lang w:eastAsia="zh-CN"/>
        </w:rPr>
        <w:t xml:space="preserve">Whether more than 2 QCL/TCI states are required and corresponding signaling details </w:t>
      </w:r>
    </w:p>
    <w:p w14:paraId="3B445BDA" w14:textId="77777777" w:rsidR="00893B74" w:rsidRDefault="00893B74" w:rsidP="00893B74">
      <w:pPr>
        <w:pStyle w:val="af3"/>
        <w:numPr>
          <w:ilvl w:val="1"/>
          <w:numId w:val="61"/>
        </w:numPr>
        <w:autoSpaceDE/>
        <w:autoSpaceDN/>
        <w:adjustRightInd/>
        <w:snapToGrid/>
        <w:spacing w:after="0" w:line="256" w:lineRule="auto"/>
        <w:ind w:firstLineChars="0"/>
        <w:contextualSpacing/>
        <w:jc w:val="left"/>
        <w:rPr>
          <w:rFonts w:cs="Times"/>
        </w:rPr>
      </w:pPr>
      <w:r>
        <w:rPr>
          <w:rFonts w:eastAsia="Malgun Gothic" w:cs="Times"/>
          <w:lang w:eastAsia="zh-CN"/>
        </w:rPr>
        <w:t xml:space="preserve">Whether and how to indicate scheme 1 </w:t>
      </w:r>
      <w:r>
        <w:rPr>
          <w:rFonts w:cs="Times"/>
        </w:rPr>
        <w:t xml:space="preserve">for </w:t>
      </w:r>
      <w:r>
        <w:rPr>
          <w:rFonts w:cs="Times"/>
          <w:iCs/>
          <w:lang w:eastAsia="ko-KR"/>
        </w:rPr>
        <w:t xml:space="preserve">differentiation with Rel-16 non-SFNed transmission schemes with multiple </w:t>
      </w:r>
      <w:r>
        <w:rPr>
          <w:rFonts w:cs="Times"/>
        </w:rPr>
        <w:t>QCL/TCI states</w:t>
      </w:r>
    </w:p>
    <w:p w14:paraId="48848832" w14:textId="77777777" w:rsidR="00893B74" w:rsidRDefault="00893B74" w:rsidP="00893B74">
      <w:pPr>
        <w:pStyle w:val="af3"/>
        <w:numPr>
          <w:ilvl w:val="1"/>
          <w:numId w:val="61"/>
        </w:numPr>
        <w:autoSpaceDE/>
        <w:autoSpaceDN/>
        <w:adjustRightInd/>
        <w:snapToGrid/>
        <w:spacing w:after="0" w:line="256" w:lineRule="auto"/>
        <w:ind w:firstLineChars="0"/>
        <w:contextualSpacing/>
        <w:jc w:val="left"/>
        <w:rPr>
          <w:rFonts w:cs="Times"/>
        </w:rPr>
      </w:pPr>
      <w:r>
        <w:rPr>
          <w:rFonts w:eastAsia="Malgun Gothic" w:cs="Times"/>
          <w:lang w:eastAsia="zh-CN"/>
        </w:rPr>
        <w:t>QCL relationship between TRS and DMRS ports</w:t>
      </w:r>
    </w:p>
    <w:p w14:paraId="1F69C361" w14:textId="77777777" w:rsidR="00893B74" w:rsidRDefault="00893B74" w:rsidP="00893B74">
      <w:pPr>
        <w:pStyle w:val="af3"/>
        <w:numPr>
          <w:ilvl w:val="1"/>
          <w:numId w:val="61"/>
        </w:numPr>
        <w:autoSpaceDE/>
        <w:autoSpaceDN/>
        <w:adjustRightInd/>
        <w:snapToGrid/>
        <w:spacing w:after="0" w:line="256" w:lineRule="auto"/>
        <w:ind w:firstLineChars="0"/>
        <w:contextualSpacing/>
        <w:jc w:val="left"/>
        <w:rPr>
          <w:rFonts w:cs="Times"/>
        </w:rPr>
      </w:pPr>
      <w:r>
        <w:rPr>
          <w:rFonts w:cs="Times"/>
        </w:rPr>
        <w:t>Note: Other schemes/aspects are not precluded</w:t>
      </w:r>
    </w:p>
    <w:p w14:paraId="37791237" w14:textId="77777777" w:rsidR="00893B74" w:rsidRDefault="00893B74" w:rsidP="00893B74">
      <w:pPr>
        <w:pStyle w:val="af3"/>
        <w:numPr>
          <w:ilvl w:val="0"/>
          <w:numId w:val="61"/>
        </w:numPr>
        <w:autoSpaceDE/>
        <w:autoSpaceDN/>
        <w:adjustRightInd/>
        <w:snapToGrid/>
        <w:spacing w:after="0" w:line="256" w:lineRule="auto"/>
        <w:ind w:firstLineChars="0"/>
        <w:contextualSpacing/>
        <w:jc w:val="left"/>
        <w:rPr>
          <w:rFonts w:cs="Times"/>
        </w:rPr>
      </w:pPr>
      <w:r>
        <w:rPr>
          <w:rFonts w:cs="Times"/>
          <w:b/>
          <w:bCs/>
        </w:rPr>
        <w:t>For scheme 2</w:t>
      </w:r>
      <w:r>
        <w:rPr>
          <w:rFonts w:cs="Times"/>
        </w:rPr>
        <w:t>:</w:t>
      </w:r>
    </w:p>
    <w:p w14:paraId="3ABCA7BD" w14:textId="77777777" w:rsidR="00893B74" w:rsidRDefault="00893B74" w:rsidP="00893B74">
      <w:pPr>
        <w:pStyle w:val="af3"/>
        <w:numPr>
          <w:ilvl w:val="1"/>
          <w:numId w:val="61"/>
        </w:numPr>
        <w:autoSpaceDE/>
        <w:autoSpaceDN/>
        <w:adjustRightInd/>
        <w:snapToGrid/>
        <w:spacing w:after="0" w:line="256" w:lineRule="auto"/>
        <w:ind w:firstLineChars="0"/>
        <w:contextualSpacing/>
        <w:jc w:val="left"/>
        <w:rPr>
          <w:rFonts w:cs="Times"/>
        </w:rPr>
      </w:pPr>
      <w:r>
        <w:rPr>
          <w:rFonts w:cs="Times"/>
        </w:rPr>
        <w:t>Association of each MIMO layer of PDSCH to DM-RS antenna ports</w:t>
      </w:r>
    </w:p>
    <w:p w14:paraId="727BDCBE" w14:textId="77777777" w:rsidR="00893B74" w:rsidRDefault="00893B74" w:rsidP="00893B74">
      <w:pPr>
        <w:pStyle w:val="af3"/>
        <w:numPr>
          <w:ilvl w:val="1"/>
          <w:numId w:val="61"/>
        </w:numPr>
        <w:autoSpaceDE/>
        <w:autoSpaceDN/>
        <w:adjustRightInd/>
        <w:snapToGrid/>
        <w:spacing w:after="0" w:line="256" w:lineRule="auto"/>
        <w:ind w:firstLineChars="0"/>
        <w:contextualSpacing/>
        <w:jc w:val="left"/>
        <w:rPr>
          <w:rFonts w:cs="Times"/>
        </w:rPr>
      </w:pPr>
      <w:r>
        <w:rPr>
          <w:rFonts w:eastAsia="Malgun Gothic" w:cs="Times"/>
          <w:lang w:eastAsia="zh-CN"/>
        </w:rPr>
        <w:t>Whether more than 2 QCL/TCI states are required and corresponding signaling details</w:t>
      </w:r>
    </w:p>
    <w:p w14:paraId="14D0521F" w14:textId="77777777" w:rsidR="00893B74" w:rsidRDefault="00893B74" w:rsidP="00893B74">
      <w:pPr>
        <w:pStyle w:val="af3"/>
        <w:numPr>
          <w:ilvl w:val="1"/>
          <w:numId w:val="61"/>
        </w:numPr>
        <w:autoSpaceDE/>
        <w:autoSpaceDN/>
        <w:adjustRightInd/>
        <w:snapToGrid/>
        <w:spacing w:after="0" w:line="256" w:lineRule="auto"/>
        <w:ind w:firstLineChars="0"/>
        <w:contextualSpacing/>
        <w:jc w:val="left"/>
        <w:rPr>
          <w:rFonts w:cs="Times"/>
        </w:rPr>
      </w:pPr>
      <w:r>
        <w:rPr>
          <w:rFonts w:eastAsia="Malgun Gothic" w:cs="Times"/>
          <w:lang w:eastAsia="zh-CN"/>
        </w:rPr>
        <w:t>Whether and how to indicate scheme 2</w:t>
      </w:r>
      <w:r>
        <w:rPr>
          <w:rFonts w:cs="Times"/>
        </w:rPr>
        <w:t xml:space="preserve"> for </w:t>
      </w:r>
      <w:r>
        <w:rPr>
          <w:rFonts w:cs="Times"/>
          <w:iCs/>
          <w:lang w:eastAsia="ko-KR"/>
        </w:rPr>
        <w:t xml:space="preserve">differentiation with Rel-16 non-SFNed transmission schemes with multiple </w:t>
      </w:r>
      <w:r>
        <w:rPr>
          <w:rFonts w:cs="Times"/>
        </w:rPr>
        <w:t>QCL/TCI states</w:t>
      </w:r>
    </w:p>
    <w:p w14:paraId="58525F4B" w14:textId="352D4A90" w:rsidR="00893B74" w:rsidRPr="005531D0" w:rsidRDefault="00893B74" w:rsidP="00893B74">
      <w:pPr>
        <w:pStyle w:val="af3"/>
        <w:numPr>
          <w:ilvl w:val="1"/>
          <w:numId w:val="61"/>
        </w:numPr>
        <w:autoSpaceDE/>
        <w:autoSpaceDN/>
        <w:adjustRightInd/>
        <w:snapToGrid/>
        <w:spacing w:after="0" w:line="256" w:lineRule="auto"/>
        <w:ind w:firstLineChars="0"/>
        <w:contextualSpacing/>
        <w:jc w:val="left"/>
        <w:rPr>
          <w:rFonts w:cs="Times"/>
        </w:rPr>
      </w:pPr>
      <w:r>
        <w:rPr>
          <w:rFonts w:cs="Times"/>
        </w:rPr>
        <w:t>Note: Other schemes/aspects are not precluded</w:t>
      </w:r>
    </w:p>
    <w:p w14:paraId="6B1EA206" w14:textId="77777777" w:rsidR="00893B74" w:rsidRPr="00BE6387" w:rsidRDefault="00893B74" w:rsidP="00893B74">
      <w:pPr>
        <w:rPr>
          <w:rFonts w:cs="Times"/>
          <w:szCs w:val="20"/>
        </w:rPr>
      </w:pPr>
      <w:r w:rsidRPr="00BE6387">
        <w:rPr>
          <w:rFonts w:cs="Times"/>
          <w:szCs w:val="20"/>
          <w:highlight w:val="green"/>
        </w:rPr>
        <w:t>Agreement</w:t>
      </w:r>
    </w:p>
    <w:p w14:paraId="113AC1F5" w14:textId="77777777" w:rsidR="00893B74" w:rsidRDefault="00893B74" w:rsidP="00893B74">
      <w:pPr>
        <w:rPr>
          <w:rFonts w:cs="Times"/>
          <w:szCs w:val="20"/>
        </w:rPr>
      </w:pPr>
      <w:r>
        <w:rPr>
          <w:rFonts w:cs="Times"/>
          <w:szCs w:val="20"/>
        </w:rPr>
        <w:t>For discussion purpose consider the following three steps for TRP-based frequency offset pre-compensation scheme:</w:t>
      </w:r>
    </w:p>
    <w:p w14:paraId="162F9E8F" w14:textId="77777777" w:rsidR="00893B74" w:rsidRDefault="00893B74" w:rsidP="00893B74">
      <w:pPr>
        <w:pStyle w:val="af3"/>
        <w:numPr>
          <w:ilvl w:val="0"/>
          <w:numId w:val="61"/>
        </w:numPr>
        <w:autoSpaceDE/>
        <w:autoSpaceDN/>
        <w:adjustRightInd/>
        <w:snapToGrid/>
        <w:spacing w:after="0" w:line="256" w:lineRule="auto"/>
        <w:ind w:firstLineChars="0"/>
        <w:contextualSpacing/>
        <w:jc w:val="left"/>
        <w:rPr>
          <w:rFonts w:cs="Times"/>
        </w:rPr>
      </w:pPr>
      <w:r>
        <w:rPr>
          <w:rFonts w:cs="Times"/>
          <w:b/>
          <w:bCs/>
        </w:rPr>
        <w:t>1</w:t>
      </w:r>
      <w:r>
        <w:rPr>
          <w:rFonts w:cs="Times"/>
          <w:b/>
          <w:bCs/>
          <w:vertAlign w:val="superscript"/>
        </w:rPr>
        <w:t>st</w:t>
      </w:r>
      <w:r>
        <w:rPr>
          <w:rFonts w:cs="Times"/>
          <w:b/>
          <w:bCs/>
        </w:rPr>
        <w:t xml:space="preserve"> step</w:t>
      </w:r>
      <w:r>
        <w:rPr>
          <w:rFonts w:cs="Times"/>
        </w:rPr>
        <w:t>: Transmission of the TRS resource(s) from TRP(s) without pre-compensation</w:t>
      </w:r>
    </w:p>
    <w:p w14:paraId="3BE2A386" w14:textId="77777777" w:rsidR="00893B74" w:rsidRDefault="00893B74" w:rsidP="00893B74">
      <w:pPr>
        <w:pStyle w:val="af3"/>
        <w:numPr>
          <w:ilvl w:val="0"/>
          <w:numId w:val="61"/>
        </w:numPr>
        <w:autoSpaceDE/>
        <w:autoSpaceDN/>
        <w:adjustRightInd/>
        <w:snapToGrid/>
        <w:spacing w:after="0" w:line="256" w:lineRule="auto"/>
        <w:ind w:firstLineChars="0"/>
        <w:contextualSpacing/>
        <w:jc w:val="left"/>
        <w:rPr>
          <w:rFonts w:cs="Times"/>
        </w:rPr>
      </w:pPr>
      <w:r>
        <w:rPr>
          <w:rFonts w:cs="Times"/>
          <w:b/>
          <w:bCs/>
        </w:rPr>
        <w:t>2</w:t>
      </w:r>
      <w:r>
        <w:rPr>
          <w:rFonts w:cs="Times"/>
          <w:b/>
          <w:bCs/>
          <w:vertAlign w:val="superscript"/>
        </w:rPr>
        <w:t>nd</w:t>
      </w:r>
      <w:r>
        <w:rPr>
          <w:rFonts w:cs="Times"/>
          <w:b/>
          <w:bCs/>
        </w:rPr>
        <w:t xml:space="preserve"> step</w:t>
      </w:r>
      <w:r>
        <w:rPr>
          <w:rFonts w:cs="Times"/>
        </w:rPr>
        <w:t>: Transmission of the uplink signal(s)/channel(s) with carrier frequency determined based on the received TRS signals in the 1</w:t>
      </w:r>
      <w:r>
        <w:rPr>
          <w:rFonts w:cs="Times"/>
          <w:vertAlign w:val="superscript"/>
        </w:rPr>
        <w:t>st</w:t>
      </w:r>
      <w:r>
        <w:rPr>
          <w:rFonts w:cs="Times"/>
        </w:rPr>
        <w:t xml:space="preserve"> step</w:t>
      </w:r>
    </w:p>
    <w:p w14:paraId="00A821C7" w14:textId="77777777" w:rsidR="00893B74" w:rsidRDefault="00893B74" w:rsidP="00893B74">
      <w:pPr>
        <w:pStyle w:val="af3"/>
        <w:numPr>
          <w:ilvl w:val="0"/>
          <w:numId w:val="61"/>
        </w:numPr>
        <w:autoSpaceDE/>
        <w:autoSpaceDN/>
        <w:adjustRightInd/>
        <w:snapToGrid/>
        <w:spacing w:after="0" w:line="256" w:lineRule="auto"/>
        <w:ind w:firstLineChars="0"/>
        <w:contextualSpacing/>
        <w:jc w:val="left"/>
        <w:rPr>
          <w:rFonts w:cs="Times"/>
        </w:rPr>
      </w:pPr>
      <w:r>
        <w:rPr>
          <w:rFonts w:cs="Times"/>
          <w:b/>
          <w:bCs/>
        </w:rPr>
        <w:t>3</w:t>
      </w:r>
      <w:r>
        <w:rPr>
          <w:rFonts w:cs="Times"/>
          <w:b/>
          <w:bCs/>
          <w:vertAlign w:val="superscript"/>
        </w:rPr>
        <w:t>rd</w:t>
      </w:r>
      <w:r>
        <w:rPr>
          <w:rFonts w:cs="Times"/>
          <w:b/>
          <w:bCs/>
        </w:rPr>
        <w:t xml:space="preserve"> step</w:t>
      </w:r>
      <w:r>
        <w:rPr>
          <w:rFonts w:cs="Times"/>
        </w:rPr>
        <w:t>: Transmission of the PDCCH/PDSCH from TRP(s) with frequency offset pre-compensation determined based on the received signal/channel in the 2</w:t>
      </w:r>
      <w:r>
        <w:rPr>
          <w:rFonts w:cs="Times"/>
          <w:vertAlign w:val="superscript"/>
        </w:rPr>
        <w:t>nd</w:t>
      </w:r>
      <w:r>
        <w:rPr>
          <w:rFonts w:cs="Times"/>
        </w:rPr>
        <w:t xml:space="preserve"> step</w:t>
      </w:r>
    </w:p>
    <w:p w14:paraId="0B0784C5" w14:textId="69D6AF00" w:rsidR="00893B74" w:rsidRPr="005531D0" w:rsidRDefault="00893B74" w:rsidP="00893B74">
      <w:pPr>
        <w:pStyle w:val="af3"/>
        <w:numPr>
          <w:ilvl w:val="0"/>
          <w:numId w:val="61"/>
        </w:numPr>
        <w:autoSpaceDE/>
        <w:autoSpaceDN/>
        <w:adjustRightInd/>
        <w:snapToGrid/>
        <w:spacing w:after="0" w:line="256" w:lineRule="auto"/>
        <w:ind w:firstLineChars="0"/>
        <w:contextualSpacing/>
        <w:jc w:val="left"/>
        <w:rPr>
          <w:rFonts w:cs="Times"/>
        </w:rPr>
      </w:pPr>
      <w:r>
        <w:rPr>
          <w:rFonts w:cs="Times"/>
        </w:rPr>
        <w:t>Note: A second set of TRS resource(s) may be transmitted at 3</w:t>
      </w:r>
      <w:r>
        <w:rPr>
          <w:rFonts w:cs="Times"/>
          <w:vertAlign w:val="superscript"/>
        </w:rPr>
        <w:t>rd</w:t>
      </w:r>
      <w:r>
        <w:rPr>
          <w:rFonts w:cs="Times"/>
        </w:rPr>
        <w:t xml:space="preserve"> step. </w:t>
      </w:r>
    </w:p>
    <w:p w14:paraId="3A7D4086" w14:textId="77777777" w:rsidR="00893B74" w:rsidRPr="00BE6387" w:rsidRDefault="00893B74" w:rsidP="00893B74">
      <w:pPr>
        <w:rPr>
          <w:rFonts w:cs="Times"/>
          <w:szCs w:val="20"/>
        </w:rPr>
      </w:pPr>
      <w:r w:rsidRPr="00BE6387">
        <w:rPr>
          <w:rFonts w:cs="Times"/>
          <w:szCs w:val="20"/>
          <w:highlight w:val="green"/>
        </w:rPr>
        <w:t>Agreement</w:t>
      </w:r>
    </w:p>
    <w:p w14:paraId="72212F0A" w14:textId="77777777" w:rsidR="00893B74" w:rsidRDefault="00893B74" w:rsidP="00893B74">
      <w:pPr>
        <w:rPr>
          <w:rFonts w:cs="Times"/>
          <w:szCs w:val="20"/>
        </w:rPr>
      </w:pPr>
      <w:r>
        <w:rPr>
          <w:rFonts w:cs="Times"/>
          <w:szCs w:val="20"/>
        </w:rPr>
        <w:t>Study TRP-based frequency offset pre-compensation including the following aspects:</w:t>
      </w:r>
    </w:p>
    <w:p w14:paraId="7E169514" w14:textId="77777777" w:rsidR="00893B74" w:rsidRDefault="00893B74" w:rsidP="00893B74">
      <w:pPr>
        <w:pStyle w:val="af3"/>
        <w:numPr>
          <w:ilvl w:val="0"/>
          <w:numId w:val="61"/>
        </w:numPr>
        <w:autoSpaceDE/>
        <w:autoSpaceDN/>
        <w:adjustRightInd/>
        <w:snapToGrid/>
        <w:spacing w:after="0" w:line="256" w:lineRule="auto"/>
        <w:ind w:firstLineChars="0"/>
        <w:contextualSpacing/>
        <w:jc w:val="left"/>
        <w:rPr>
          <w:rFonts w:cs="Times"/>
        </w:rPr>
      </w:pPr>
      <w:r>
        <w:rPr>
          <w:rFonts w:cs="Times"/>
        </w:rPr>
        <w:lastRenderedPageBreak/>
        <w:t>Aspects related to indication of the carrier frequency determined based on the received TRS resource(s) in the 1</w:t>
      </w:r>
      <w:r>
        <w:rPr>
          <w:rFonts w:cs="Times"/>
          <w:vertAlign w:val="superscript"/>
        </w:rPr>
        <w:t>st</w:t>
      </w:r>
      <w:r>
        <w:rPr>
          <w:rFonts w:cs="Times"/>
        </w:rPr>
        <w:t xml:space="preserve"> step</w:t>
      </w:r>
    </w:p>
    <w:p w14:paraId="4362299C" w14:textId="77777777" w:rsidR="00893B74" w:rsidRDefault="00893B74" w:rsidP="00893B74">
      <w:pPr>
        <w:pStyle w:val="af3"/>
        <w:numPr>
          <w:ilvl w:val="1"/>
          <w:numId w:val="61"/>
        </w:numPr>
        <w:autoSpaceDE/>
        <w:autoSpaceDN/>
        <w:adjustRightInd/>
        <w:snapToGrid/>
        <w:spacing w:after="0" w:line="256" w:lineRule="auto"/>
        <w:ind w:firstLineChars="0"/>
        <w:contextualSpacing/>
        <w:jc w:val="left"/>
        <w:rPr>
          <w:rFonts w:cs="Times"/>
        </w:rPr>
      </w:pPr>
      <w:r>
        <w:rPr>
          <w:rFonts w:cs="Times"/>
          <w:b/>
          <w:bCs/>
        </w:rPr>
        <w:t>Option 1</w:t>
      </w:r>
      <w:r>
        <w:rPr>
          <w:rFonts w:cs="Times"/>
        </w:rPr>
        <w:t>: Implicit indication of the Doppler shift(s) using uplink signal(s) transmitted on the carrier frequency acquired in the 1</w:t>
      </w:r>
      <w:r>
        <w:rPr>
          <w:rFonts w:cs="Times"/>
          <w:vertAlign w:val="superscript"/>
        </w:rPr>
        <w:t>st</w:t>
      </w:r>
      <w:r>
        <w:rPr>
          <w:rFonts w:cs="Times"/>
        </w:rPr>
        <w:t xml:space="preserve"> step</w:t>
      </w:r>
    </w:p>
    <w:p w14:paraId="27E31D91" w14:textId="77777777" w:rsidR="00893B74" w:rsidRDefault="00893B74" w:rsidP="00893B74">
      <w:pPr>
        <w:pStyle w:val="af3"/>
        <w:numPr>
          <w:ilvl w:val="2"/>
          <w:numId w:val="61"/>
        </w:numPr>
        <w:autoSpaceDE/>
        <w:autoSpaceDN/>
        <w:adjustRightInd/>
        <w:snapToGrid/>
        <w:spacing w:after="0" w:line="256" w:lineRule="auto"/>
        <w:ind w:firstLineChars="0"/>
        <w:contextualSpacing/>
        <w:jc w:val="left"/>
        <w:rPr>
          <w:rFonts w:cs="Times"/>
        </w:rPr>
      </w:pPr>
      <w:r w:rsidRPr="00B2038B">
        <w:rPr>
          <w:rFonts w:cs="Times"/>
        </w:rPr>
        <w:t>Indication</w:t>
      </w:r>
      <w:r>
        <w:rPr>
          <w:rFonts w:cs="Times"/>
        </w:rPr>
        <w:t xml:space="preserve"> for QCL-like association of the resource(s) received in the 1</w:t>
      </w:r>
      <w:r>
        <w:rPr>
          <w:rFonts w:cs="Times"/>
          <w:vertAlign w:val="superscript"/>
        </w:rPr>
        <w:t>st</w:t>
      </w:r>
      <w:r>
        <w:rPr>
          <w:rFonts w:cs="Times"/>
        </w:rPr>
        <w:t xml:space="preserve"> step with UL signal transmitted in the 2</w:t>
      </w:r>
      <w:r>
        <w:rPr>
          <w:rFonts w:cs="Times"/>
          <w:vertAlign w:val="superscript"/>
        </w:rPr>
        <w:t>nd</w:t>
      </w:r>
      <w:r>
        <w:rPr>
          <w:rFonts w:cs="Times"/>
        </w:rPr>
        <w:t xml:space="preserve"> step</w:t>
      </w:r>
    </w:p>
    <w:p w14:paraId="4EF1F9A0" w14:textId="77777777" w:rsidR="00893B74" w:rsidRDefault="00893B74" w:rsidP="00893B74">
      <w:pPr>
        <w:pStyle w:val="af3"/>
        <w:numPr>
          <w:ilvl w:val="2"/>
          <w:numId w:val="61"/>
        </w:numPr>
        <w:autoSpaceDE/>
        <w:autoSpaceDN/>
        <w:adjustRightInd/>
        <w:snapToGrid/>
        <w:spacing w:after="0" w:line="256" w:lineRule="auto"/>
        <w:ind w:firstLineChars="0"/>
        <w:contextualSpacing/>
        <w:jc w:val="left"/>
        <w:rPr>
          <w:rFonts w:cs="Times"/>
        </w:rPr>
      </w:pPr>
      <w:r>
        <w:rPr>
          <w:rFonts w:cs="Times"/>
        </w:rPr>
        <w:t>Type of the uplink reference signals / physical channel used in the 2</w:t>
      </w:r>
      <w:r>
        <w:rPr>
          <w:rFonts w:cs="Times"/>
          <w:vertAlign w:val="superscript"/>
        </w:rPr>
        <w:t>nd</w:t>
      </w:r>
      <w:r>
        <w:rPr>
          <w:rFonts w:cs="Times"/>
        </w:rPr>
        <w:t xml:space="preserve"> step, necessity of new configuration and corresponding signaling details</w:t>
      </w:r>
    </w:p>
    <w:p w14:paraId="34024093" w14:textId="77777777" w:rsidR="00893B74" w:rsidRDefault="00893B74" w:rsidP="00893B74">
      <w:pPr>
        <w:pStyle w:val="af3"/>
        <w:numPr>
          <w:ilvl w:val="1"/>
          <w:numId w:val="61"/>
        </w:numPr>
        <w:autoSpaceDE/>
        <w:autoSpaceDN/>
        <w:adjustRightInd/>
        <w:snapToGrid/>
        <w:spacing w:after="0" w:line="256" w:lineRule="auto"/>
        <w:ind w:firstLineChars="0"/>
        <w:contextualSpacing/>
        <w:jc w:val="left"/>
        <w:rPr>
          <w:rFonts w:cs="Times"/>
        </w:rPr>
      </w:pPr>
      <w:r>
        <w:rPr>
          <w:rFonts w:cs="Times"/>
          <w:b/>
          <w:bCs/>
        </w:rPr>
        <w:t>Option 2</w:t>
      </w:r>
      <w:r>
        <w:rPr>
          <w:rFonts w:cs="Times"/>
        </w:rPr>
        <w:t>: Explicit reporting of the Doppler shift(s) acquired in the 1</w:t>
      </w:r>
      <w:r>
        <w:rPr>
          <w:rFonts w:cs="Times"/>
          <w:vertAlign w:val="superscript"/>
        </w:rPr>
        <w:t>st</w:t>
      </w:r>
      <w:r>
        <w:rPr>
          <w:rFonts w:cs="Times"/>
        </w:rPr>
        <w:t xml:space="preserve"> step using CSI framework</w:t>
      </w:r>
    </w:p>
    <w:p w14:paraId="55740BE3" w14:textId="77777777" w:rsidR="00893B74" w:rsidRDefault="00893B74" w:rsidP="00893B74">
      <w:pPr>
        <w:pStyle w:val="af3"/>
        <w:numPr>
          <w:ilvl w:val="2"/>
          <w:numId w:val="61"/>
        </w:numPr>
        <w:autoSpaceDE/>
        <w:autoSpaceDN/>
        <w:adjustRightInd/>
        <w:snapToGrid/>
        <w:spacing w:after="0" w:line="256" w:lineRule="auto"/>
        <w:ind w:firstLineChars="0"/>
        <w:contextualSpacing/>
        <w:jc w:val="left"/>
        <w:rPr>
          <w:rFonts w:cs="Times"/>
        </w:rPr>
      </w:pPr>
      <w:r w:rsidRPr="00B2038B">
        <w:rPr>
          <w:rFonts w:cs="Times"/>
        </w:rPr>
        <w:t>FFS: Indication</w:t>
      </w:r>
      <w:r>
        <w:rPr>
          <w:rFonts w:cs="Times"/>
        </w:rPr>
        <w:t xml:space="preserve"> for QCL-like association of the resource(s) received in the 1</w:t>
      </w:r>
      <w:r>
        <w:rPr>
          <w:rFonts w:cs="Times"/>
          <w:vertAlign w:val="superscript"/>
        </w:rPr>
        <w:t>st</w:t>
      </w:r>
      <w:r>
        <w:rPr>
          <w:rFonts w:cs="Times"/>
        </w:rPr>
        <w:t xml:space="preserve"> step with UL signal transmitted in the 2</w:t>
      </w:r>
      <w:r>
        <w:rPr>
          <w:rFonts w:cs="Times"/>
          <w:vertAlign w:val="superscript"/>
        </w:rPr>
        <w:t>nd</w:t>
      </w:r>
      <w:r>
        <w:rPr>
          <w:rFonts w:cs="Times"/>
        </w:rPr>
        <w:t xml:space="preserve"> step</w:t>
      </w:r>
    </w:p>
    <w:p w14:paraId="5FF8DE0D" w14:textId="77777777" w:rsidR="00893B74" w:rsidRDefault="00893B74" w:rsidP="00893B74">
      <w:pPr>
        <w:pStyle w:val="af3"/>
        <w:numPr>
          <w:ilvl w:val="2"/>
          <w:numId w:val="61"/>
        </w:numPr>
        <w:autoSpaceDE/>
        <w:autoSpaceDN/>
        <w:adjustRightInd/>
        <w:snapToGrid/>
        <w:spacing w:after="0" w:line="256" w:lineRule="auto"/>
        <w:ind w:firstLineChars="0"/>
        <w:contextualSpacing/>
        <w:jc w:val="left"/>
        <w:rPr>
          <w:rFonts w:cs="Times"/>
        </w:rPr>
      </w:pPr>
      <w:r>
        <w:rPr>
          <w:rFonts w:cs="Times"/>
        </w:rPr>
        <w:t>CSI reporting aspects, configuration, quantization, signalling details, etc.</w:t>
      </w:r>
    </w:p>
    <w:p w14:paraId="696B89B6" w14:textId="77777777" w:rsidR="00893B74" w:rsidRDefault="00893B74" w:rsidP="00893B74">
      <w:pPr>
        <w:pStyle w:val="af3"/>
        <w:numPr>
          <w:ilvl w:val="0"/>
          <w:numId w:val="61"/>
        </w:numPr>
        <w:autoSpaceDE/>
        <w:autoSpaceDN/>
        <w:adjustRightInd/>
        <w:snapToGrid/>
        <w:spacing w:after="0" w:line="256" w:lineRule="auto"/>
        <w:ind w:firstLineChars="0"/>
        <w:contextualSpacing/>
        <w:jc w:val="left"/>
        <w:rPr>
          <w:rFonts w:cs="Times"/>
        </w:rPr>
      </w:pPr>
      <w:r>
        <w:rPr>
          <w:rFonts w:cs="Times"/>
        </w:rPr>
        <w:t xml:space="preserve">New QCL types/assumption for TRS with other RS (e.g., SS/PBCH), when TRS resource(s) is used as target RS in TCI state </w:t>
      </w:r>
    </w:p>
    <w:p w14:paraId="5D8F0805" w14:textId="77777777" w:rsidR="00893B74" w:rsidRDefault="00893B74" w:rsidP="00893B74">
      <w:pPr>
        <w:pStyle w:val="af3"/>
        <w:numPr>
          <w:ilvl w:val="0"/>
          <w:numId w:val="61"/>
        </w:numPr>
        <w:autoSpaceDE/>
        <w:autoSpaceDN/>
        <w:adjustRightInd/>
        <w:snapToGrid/>
        <w:spacing w:after="0" w:line="256" w:lineRule="auto"/>
        <w:ind w:firstLineChars="0"/>
        <w:contextualSpacing/>
        <w:jc w:val="left"/>
        <w:rPr>
          <w:rFonts w:cs="Times"/>
        </w:rPr>
      </w:pPr>
      <w:r>
        <w:rPr>
          <w:rFonts w:cs="Times"/>
        </w:rPr>
        <w:t xml:space="preserve">New QCL types/assumptions for TRS with other RS (e.g., DM-RS), when TRS resource(s) is used as source RS in the TCI state </w:t>
      </w:r>
    </w:p>
    <w:p w14:paraId="5333A027" w14:textId="77777777" w:rsidR="00893B74" w:rsidRDefault="00893B74" w:rsidP="00893B74">
      <w:pPr>
        <w:pStyle w:val="af3"/>
        <w:numPr>
          <w:ilvl w:val="0"/>
          <w:numId w:val="61"/>
        </w:numPr>
        <w:autoSpaceDE/>
        <w:autoSpaceDN/>
        <w:adjustRightInd/>
        <w:snapToGrid/>
        <w:spacing w:after="0" w:line="256" w:lineRule="auto"/>
        <w:ind w:firstLineChars="0"/>
        <w:contextualSpacing/>
        <w:jc w:val="left"/>
        <w:rPr>
          <w:rFonts w:cs="Times"/>
        </w:rPr>
      </w:pPr>
      <w:r>
        <w:rPr>
          <w:rFonts w:cs="Times"/>
        </w:rPr>
        <w:t>Target physical channels (e.g., PDSCH only or PDSCH/PDCCH) and reference signals that should be supported for pre-compensation</w:t>
      </w:r>
    </w:p>
    <w:p w14:paraId="7E93C710" w14:textId="77777777" w:rsidR="00893B74" w:rsidRDefault="00893B74" w:rsidP="00893B74">
      <w:pPr>
        <w:pStyle w:val="af3"/>
        <w:numPr>
          <w:ilvl w:val="0"/>
          <w:numId w:val="61"/>
        </w:numPr>
        <w:autoSpaceDE/>
        <w:autoSpaceDN/>
        <w:adjustRightInd/>
        <w:snapToGrid/>
        <w:spacing w:after="0" w:line="256" w:lineRule="auto"/>
        <w:ind w:firstLineChars="0"/>
        <w:contextualSpacing/>
        <w:jc w:val="left"/>
        <w:rPr>
          <w:rFonts w:cs="Times"/>
        </w:rPr>
      </w:pPr>
      <w:r>
        <w:rPr>
          <w:rFonts w:cs="Times"/>
        </w:rPr>
        <w:t>Signaling/procedural details on whether/how the pre-compensation is applied to target channels</w:t>
      </w:r>
    </w:p>
    <w:p w14:paraId="0648BB49" w14:textId="77777777" w:rsidR="00893B74" w:rsidRDefault="00893B74" w:rsidP="00893B74">
      <w:pPr>
        <w:pStyle w:val="af3"/>
        <w:numPr>
          <w:ilvl w:val="0"/>
          <w:numId w:val="61"/>
        </w:numPr>
        <w:autoSpaceDE/>
        <w:autoSpaceDN/>
        <w:adjustRightInd/>
        <w:snapToGrid/>
        <w:spacing w:after="0" w:line="256" w:lineRule="auto"/>
        <w:ind w:firstLineChars="0"/>
        <w:contextualSpacing/>
        <w:jc w:val="left"/>
        <w:rPr>
          <w:rFonts w:cs="Times"/>
        </w:rPr>
      </w:pPr>
      <w:r>
        <w:rPr>
          <w:rFonts w:eastAsia="Malgun Gothic" w:cs="Times"/>
          <w:lang w:eastAsia="zh-CN"/>
        </w:rPr>
        <w:t>Whether multiple sets o</w:t>
      </w:r>
      <w:r>
        <w:rPr>
          <w:rFonts w:cs="Times"/>
        </w:rPr>
        <w:t>f TRS and pre-compensation o</w:t>
      </w:r>
      <w:r>
        <w:rPr>
          <w:rFonts w:eastAsia="Malgun Gothic" w:cs="Times"/>
          <w:lang w:eastAsia="zh-CN"/>
        </w:rPr>
        <w:t>n TRS is needed in 3</w:t>
      </w:r>
      <w:r>
        <w:rPr>
          <w:rFonts w:eastAsia="Malgun Gothic" w:cs="Times"/>
          <w:vertAlign w:val="superscript"/>
          <w:lang w:eastAsia="zh-CN"/>
        </w:rPr>
        <w:t>rd</w:t>
      </w:r>
      <w:r>
        <w:rPr>
          <w:rFonts w:eastAsia="Malgun Gothic" w:cs="Times"/>
          <w:lang w:eastAsia="zh-CN"/>
        </w:rPr>
        <w:t xml:space="preserve"> step.</w:t>
      </w:r>
    </w:p>
    <w:p w14:paraId="4645BF3F" w14:textId="6AEA5B22" w:rsidR="00893B74" w:rsidRPr="005531D0" w:rsidRDefault="00893B74" w:rsidP="005531D0">
      <w:pPr>
        <w:pStyle w:val="af3"/>
        <w:numPr>
          <w:ilvl w:val="0"/>
          <w:numId w:val="61"/>
        </w:numPr>
        <w:autoSpaceDE/>
        <w:autoSpaceDN/>
        <w:adjustRightInd/>
        <w:snapToGrid/>
        <w:spacing w:after="0" w:line="256" w:lineRule="auto"/>
        <w:ind w:firstLineChars="0"/>
        <w:contextualSpacing/>
        <w:jc w:val="left"/>
        <w:rPr>
          <w:rFonts w:cs="Times"/>
        </w:rPr>
      </w:pPr>
      <w:r>
        <w:rPr>
          <w:rFonts w:cs="Times"/>
        </w:rPr>
        <w:t>Note: Other aspects/schemes are not precluded</w:t>
      </w:r>
    </w:p>
    <w:p w14:paraId="13F8C41C" w14:textId="77777777" w:rsidR="005531D0" w:rsidRDefault="005531D0" w:rsidP="007B2144">
      <w:pPr>
        <w:pStyle w:val="maintext"/>
        <w:ind w:firstLineChars="0" w:firstLine="0"/>
        <w:rPr>
          <w:rFonts w:eastAsiaTheme="minorEastAsia"/>
          <w:sz w:val="22"/>
          <w:lang w:val="en-US" w:eastAsia="zh-CN"/>
        </w:rPr>
      </w:pPr>
    </w:p>
    <w:p w14:paraId="76CC7029" w14:textId="66F3044C" w:rsidR="00497CBF" w:rsidRPr="00175790" w:rsidRDefault="00497CBF" w:rsidP="007B2144">
      <w:pPr>
        <w:pStyle w:val="maintext"/>
        <w:ind w:firstLineChars="0" w:firstLine="0"/>
        <w:rPr>
          <w:rFonts w:eastAsiaTheme="minorEastAsia"/>
          <w:sz w:val="22"/>
          <w:lang w:eastAsia="zh-CN"/>
        </w:rPr>
      </w:pPr>
      <w:r>
        <w:rPr>
          <w:rFonts w:eastAsiaTheme="minorEastAsia"/>
          <w:sz w:val="22"/>
          <w:lang w:eastAsia="zh-CN"/>
        </w:rPr>
        <w:t>I</w:t>
      </w:r>
      <w:r>
        <w:rPr>
          <w:rFonts w:eastAsiaTheme="minorEastAsia" w:hint="eastAsia"/>
          <w:sz w:val="22"/>
          <w:lang w:eastAsia="zh-CN"/>
        </w:rPr>
        <w:t xml:space="preserve">n </w:t>
      </w:r>
      <w:r>
        <w:rPr>
          <w:rFonts w:eastAsiaTheme="minorEastAsia"/>
          <w:sz w:val="22"/>
          <w:lang w:eastAsia="zh-CN"/>
        </w:rPr>
        <w:t xml:space="preserve">this paper, we will </w:t>
      </w:r>
      <w:r>
        <w:rPr>
          <w:rFonts w:eastAsiaTheme="minorEastAsia" w:hint="eastAsia"/>
          <w:sz w:val="22"/>
          <w:lang w:eastAsia="zh-CN"/>
        </w:rPr>
        <w:t>present our opinions</w:t>
      </w:r>
      <w:r w:rsidR="00893B74">
        <w:rPr>
          <w:rFonts w:eastAsiaTheme="minorEastAsia"/>
          <w:sz w:val="22"/>
          <w:lang w:eastAsia="zh-CN"/>
        </w:rPr>
        <w:t xml:space="preserve"> on this issue</w:t>
      </w:r>
      <w:r>
        <w:rPr>
          <w:rFonts w:eastAsiaTheme="minorEastAsia" w:hint="eastAsia"/>
          <w:sz w:val="22"/>
          <w:lang w:eastAsia="zh-CN"/>
        </w:rPr>
        <w:t>.</w:t>
      </w:r>
    </w:p>
    <w:p w14:paraId="2A8A536D" w14:textId="77777777" w:rsidR="00AA2DEA" w:rsidRPr="00214A45" w:rsidRDefault="00AA2DEA" w:rsidP="003F0FF7">
      <w:pPr>
        <w:rPr>
          <w:lang w:eastAsia="zh-CN"/>
        </w:rPr>
      </w:pPr>
    </w:p>
    <w:p w14:paraId="717EA60D" w14:textId="0A47A83E" w:rsidR="0051519C" w:rsidRPr="005531D0" w:rsidRDefault="007C2BDF" w:rsidP="005531D0">
      <w:pPr>
        <w:pStyle w:val="1"/>
        <w:rPr>
          <w:lang w:eastAsia="zh-CN"/>
        </w:rPr>
      </w:pPr>
      <w:r>
        <w:rPr>
          <w:rFonts w:hint="eastAsia"/>
          <w:lang w:eastAsia="zh-CN"/>
        </w:rPr>
        <w:t>Discussion</w:t>
      </w:r>
    </w:p>
    <w:p w14:paraId="7C949CF8" w14:textId="77777777" w:rsidR="0051519C" w:rsidRPr="00175790" w:rsidRDefault="0051519C" w:rsidP="0051519C">
      <w:pPr>
        <w:pStyle w:val="0Maintext"/>
        <w:spacing w:after="120" w:afterAutospacing="0" w:line="240" w:lineRule="auto"/>
        <w:ind w:firstLine="0"/>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 xml:space="preserve">igh speed train scenario is one important 5G NR scenario captured in TR38.913. For this scenario, generally in current real network, SFN based transmission has been adopted to avoid frequent handover and improve user experience. However, Doppler shifts from different RRHs along the </w:t>
      </w:r>
      <w:hyperlink r:id="rId8" w:history="1">
        <w:r w:rsidRPr="00E12308">
          <w:rPr>
            <w:rFonts w:eastAsiaTheme="minorEastAsia"/>
            <w:sz w:val="22"/>
            <w:lang w:val="en-US" w:eastAsia="zh-CN"/>
          </w:rPr>
          <w:t>trajectory</w:t>
        </w:r>
      </w:hyperlink>
      <w:r>
        <w:rPr>
          <w:rFonts w:eastAsiaTheme="minorEastAsia"/>
          <w:sz w:val="22"/>
          <w:lang w:val="en-US" w:eastAsia="zh-CN"/>
        </w:rPr>
        <w:t xml:space="preserve"> of the train is different, even sometimes it will be opposite. One illustration is shown as Fig.1.</w:t>
      </w:r>
    </w:p>
    <w:p w14:paraId="6C56BE64" w14:textId="5C77F2C0" w:rsidR="0051519C" w:rsidRPr="00E252A4" w:rsidRDefault="0051519C" w:rsidP="0051519C">
      <w:pPr>
        <w:pStyle w:val="0Maintext"/>
        <w:spacing w:after="120" w:afterAutospacing="0" w:line="240" w:lineRule="auto"/>
        <w:ind w:firstLine="0"/>
        <w:jc w:val="center"/>
        <w:rPr>
          <w:sz w:val="22"/>
        </w:rPr>
      </w:pPr>
      <w:r w:rsidRPr="0022382F">
        <w:t xml:space="preserve"> </w:t>
      </w:r>
      <w:r>
        <w:object w:dxaOrig="9406" w:dyaOrig="5596" w14:anchorId="38DC75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65pt;height:112.9pt" o:ole="">
            <v:imagedata r:id="rId9" o:title=""/>
          </v:shape>
          <o:OLEObject Type="Embed" ProgID="Visio.Drawing.15" ShapeID="_x0000_i1025" DrawAspect="Content" ObjectID="_1664984946" r:id="rId10"/>
        </w:object>
      </w:r>
    </w:p>
    <w:p w14:paraId="56D2FC89" w14:textId="77777777" w:rsidR="0051519C" w:rsidRPr="00E252A4" w:rsidRDefault="0051519C" w:rsidP="0051519C">
      <w:pPr>
        <w:pStyle w:val="0Maintext"/>
        <w:spacing w:after="120" w:afterAutospacing="0" w:line="240" w:lineRule="auto"/>
        <w:ind w:firstLine="0"/>
        <w:jc w:val="center"/>
        <w:rPr>
          <w:b/>
          <w:bCs/>
          <w:sz w:val="22"/>
          <w:lang w:val="en-US" w:eastAsia="zh-CN"/>
        </w:rPr>
      </w:pPr>
      <w:r w:rsidRPr="00E252A4">
        <w:rPr>
          <w:b/>
          <w:bCs/>
          <w:sz w:val="22"/>
          <w:lang w:val="en-US" w:eastAsia="zh-CN"/>
        </w:rPr>
        <w:t>Figure 1: HST-SFN Scenario</w:t>
      </w:r>
    </w:p>
    <w:p w14:paraId="38859A8B" w14:textId="77777777" w:rsidR="00A47A7B" w:rsidRDefault="0051519C" w:rsidP="0051519C">
      <w:pPr>
        <w:pStyle w:val="0Maintext"/>
        <w:spacing w:after="120" w:afterAutospacing="0" w:line="240" w:lineRule="auto"/>
        <w:ind w:firstLine="0"/>
        <w:rPr>
          <w:rFonts w:eastAsiaTheme="minorEastAsia"/>
          <w:sz w:val="22"/>
          <w:lang w:val="en-US" w:eastAsia="zh-CN"/>
        </w:rPr>
      </w:pPr>
      <w:r>
        <w:rPr>
          <w:rFonts w:eastAsiaTheme="minorEastAsia" w:hint="eastAsia"/>
          <w:sz w:val="22"/>
          <w:lang w:val="en-US" w:eastAsia="zh-CN"/>
        </w:rPr>
        <w:t>I</w:t>
      </w:r>
      <w:r>
        <w:rPr>
          <w:rFonts w:eastAsiaTheme="minorEastAsia"/>
          <w:sz w:val="22"/>
          <w:lang w:val="en-US" w:eastAsia="zh-CN"/>
        </w:rPr>
        <w:t xml:space="preserve">n order to overcome the above issue, one possible approach is to perform Doppler shift estimation and pre-compensation at gNB to realize the alignment between RRHs for one cell. Last meeting, </w:t>
      </w:r>
      <w:r w:rsidRPr="0051519C">
        <w:rPr>
          <w:rFonts w:eastAsiaTheme="minorEastAsia"/>
          <w:sz w:val="22"/>
          <w:lang w:val="en-US" w:eastAsia="zh-CN"/>
        </w:rPr>
        <w:t>three steps for TRP-based frequency offset pre-compensation scheme</w:t>
      </w:r>
      <w:r>
        <w:rPr>
          <w:rFonts w:eastAsiaTheme="minorEastAsia"/>
          <w:sz w:val="22"/>
          <w:lang w:val="en-US" w:eastAsia="zh-CN"/>
        </w:rPr>
        <w:t xml:space="preserve"> have been listed for consideration. </w:t>
      </w:r>
    </w:p>
    <w:p w14:paraId="16614012" w14:textId="35602E15" w:rsidR="00531F76" w:rsidRDefault="00531F76" w:rsidP="0051519C">
      <w:pPr>
        <w:pStyle w:val="0Maintext"/>
        <w:spacing w:after="120" w:afterAutospacing="0" w:line="240" w:lineRule="auto"/>
        <w:ind w:firstLine="0"/>
        <w:rPr>
          <w:rFonts w:eastAsiaTheme="minorEastAsia"/>
          <w:sz w:val="22"/>
          <w:lang w:val="en-US" w:eastAsia="zh-CN"/>
        </w:rPr>
      </w:pPr>
      <w:r>
        <w:rPr>
          <w:rFonts w:eastAsiaTheme="minorEastAsia"/>
          <w:sz w:val="22"/>
          <w:lang w:val="en-US" w:eastAsia="zh-CN"/>
        </w:rPr>
        <w:t>To realize aligned PDSCH transmission for step 3, the reference RRH or carrier frequency should be common understanding between gNB and UE. Considering TRS from non-reference RRH could not be as the source RS providing Doppler related parameter, one simple and effective method is to introduce one new QCL type, e.g., the new QCL type could only include {</w:t>
      </w:r>
      <w:r w:rsidR="00A47A7B">
        <w:rPr>
          <w:rFonts w:eastAsiaTheme="minorEastAsia"/>
          <w:sz w:val="22"/>
          <w:lang w:val="en-US" w:eastAsia="zh-CN"/>
        </w:rPr>
        <w:t>Average de</w:t>
      </w:r>
      <w:r>
        <w:rPr>
          <w:rFonts w:eastAsiaTheme="minorEastAsia"/>
          <w:sz w:val="22"/>
          <w:lang w:val="en-US" w:eastAsia="zh-CN"/>
        </w:rPr>
        <w:t xml:space="preserve">lay, delay spread, </w:t>
      </w:r>
      <w:r w:rsidR="00B2038B" w:rsidRPr="00B2038B">
        <w:rPr>
          <w:rFonts w:eastAsiaTheme="minorEastAsia"/>
          <w:sz w:val="22"/>
          <w:lang w:val="en-US" w:eastAsia="zh-CN"/>
        </w:rPr>
        <w:t>Spatial Rx parameter</w:t>
      </w:r>
      <w:r w:rsidR="00B2038B">
        <w:rPr>
          <w:rFonts w:eastAsiaTheme="minorEastAsia"/>
          <w:sz w:val="22"/>
          <w:lang w:val="en-US" w:eastAsia="zh-CN"/>
        </w:rPr>
        <w:t xml:space="preserve"> </w:t>
      </w:r>
      <w:r>
        <w:rPr>
          <w:rFonts w:eastAsiaTheme="minorEastAsia"/>
          <w:sz w:val="22"/>
          <w:lang w:val="en-US" w:eastAsia="zh-CN"/>
        </w:rPr>
        <w:t xml:space="preserve">}, to enable </w:t>
      </w:r>
      <w:r w:rsidR="00A47A7B" w:rsidRPr="00531F76">
        <w:rPr>
          <w:rFonts w:eastAsiaTheme="minorEastAsia"/>
          <w:sz w:val="22"/>
          <w:lang w:val="en-US" w:eastAsia="zh-CN"/>
        </w:rPr>
        <w:t>indication of the carrier frequency</w:t>
      </w:r>
      <w:r w:rsidR="00A47A7B">
        <w:rPr>
          <w:rFonts w:eastAsiaTheme="minorEastAsia"/>
          <w:sz w:val="22"/>
          <w:lang w:val="en-US" w:eastAsia="zh-CN"/>
        </w:rPr>
        <w:t xml:space="preserve"> for step 2.</w:t>
      </w:r>
    </w:p>
    <w:p w14:paraId="698BC8A7" w14:textId="2B0D92E9" w:rsidR="00A47A7B" w:rsidRDefault="00A47A7B" w:rsidP="00A47A7B">
      <w:pPr>
        <w:pStyle w:val="0Maintext"/>
        <w:spacing w:after="120" w:afterAutospacing="0" w:line="240" w:lineRule="auto"/>
        <w:ind w:firstLine="0"/>
        <w:rPr>
          <w:rFonts w:eastAsiaTheme="minorEastAsia"/>
          <w:b/>
          <w:i/>
          <w:sz w:val="22"/>
          <w:lang w:val="en-US" w:eastAsia="zh-CN"/>
        </w:rPr>
      </w:pPr>
      <w:r w:rsidRPr="00175790">
        <w:rPr>
          <w:rFonts w:eastAsiaTheme="minorEastAsia"/>
          <w:b/>
          <w:i/>
          <w:sz w:val="22"/>
          <w:lang w:val="en-US" w:eastAsia="zh-CN"/>
        </w:rPr>
        <w:lastRenderedPageBreak/>
        <w:t>Proposal</w:t>
      </w:r>
      <w:r>
        <w:rPr>
          <w:rFonts w:eastAsiaTheme="minorEastAsia"/>
          <w:b/>
          <w:i/>
          <w:sz w:val="22"/>
          <w:lang w:val="en-US" w:eastAsia="zh-CN"/>
        </w:rPr>
        <w:t xml:space="preserve"> 1: For </w:t>
      </w:r>
      <w:r w:rsidRPr="00A47A7B">
        <w:rPr>
          <w:rFonts w:eastAsiaTheme="minorEastAsia"/>
          <w:b/>
          <w:i/>
          <w:sz w:val="22"/>
          <w:lang w:val="en-US" w:eastAsia="zh-CN"/>
        </w:rPr>
        <w:t>indication of the carrier frequency determined based on the received TRS resource(s) in the 1st step, support option 1.</w:t>
      </w:r>
    </w:p>
    <w:p w14:paraId="4CEB4386" w14:textId="567AB085" w:rsidR="00A47A7B" w:rsidRPr="005531D0" w:rsidRDefault="00AB5194" w:rsidP="00A47A7B">
      <w:pPr>
        <w:pStyle w:val="0Maintext"/>
        <w:spacing w:after="120" w:afterAutospacing="0" w:line="240" w:lineRule="auto"/>
        <w:ind w:firstLine="0"/>
        <w:rPr>
          <w:rFonts w:eastAsiaTheme="minorEastAsia"/>
          <w:b/>
          <w:i/>
          <w:sz w:val="22"/>
          <w:lang w:val="en-US" w:eastAsia="zh-CN"/>
        </w:rPr>
      </w:pPr>
      <w:r w:rsidRPr="00175790">
        <w:rPr>
          <w:rFonts w:eastAsiaTheme="minorEastAsia"/>
          <w:b/>
          <w:i/>
          <w:sz w:val="22"/>
          <w:lang w:val="en-US" w:eastAsia="zh-CN"/>
        </w:rPr>
        <w:t>Proposal</w:t>
      </w:r>
      <w:r>
        <w:rPr>
          <w:rFonts w:eastAsiaTheme="minorEastAsia"/>
          <w:b/>
          <w:i/>
          <w:sz w:val="22"/>
          <w:lang w:val="en-US" w:eastAsia="zh-CN"/>
        </w:rPr>
        <w:t xml:space="preserve"> </w:t>
      </w:r>
      <w:r w:rsidR="005531D0">
        <w:rPr>
          <w:rFonts w:eastAsiaTheme="minorEastAsia"/>
          <w:b/>
          <w:i/>
          <w:sz w:val="22"/>
          <w:lang w:val="en-US" w:eastAsia="zh-CN"/>
        </w:rPr>
        <w:t>2</w:t>
      </w:r>
      <w:r>
        <w:rPr>
          <w:rFonts w:eastAsiaTheme="minorEastAsia"/>
          <w:b/>
          <w:i/>
          <w:sz w:val="22"/>
          <w:lang w:val="en-US" w:eastAsia="zh-CN"/>
        </w:rPr>
        <w:t>:</w:t>
      </w:r>
      <w:r w:rsidR="00B2038B">
        <w:rPr>
          <w:rFonts w:eastAsiaTheme="minorEastAsia"/>
          <w:b/>
          <w:i/>
          <w:sz w:val="22"/>
          <w:lang w:val="en-US" w:eastAsia="zh-CN"/>
        </w:rPr>
        <w:t>New QCL type could</w:t>
      </w:r>
      <w:r>
        <w:rPr>
          <w:rFonts w:eastAsiaTheme="minorEastAsia"/>
          <w:b/>
          <w:i/>
          <w:sz w:val="22"/>
          <w:lang w:val="en-US" w:eastAsia="zh-CN"/>
        </w:rPr>
        <w:t xml:space="preserve"> be introduced, e.g.,</w:t>
      </w:r>
      <w:r w:rsidR="005531D0">
        <w:rPr>
          <w:rFonts w:eastAsiaTheme="minorEastAsia"/>
          <w:b/>
          <w:i/>
          <w:sz w:val="22"/>
          <w:lang w:val="en-US" w:eastAsia="zh-CN"/>
        </w:rPr>
        <w:t xml:space="preserve"> Doppler related parameters should not be included.</w:t>
      </w:r>
    </w:p>
    <w:p w14:paraId="32C666FA" w14:textId="093C2576" w:rsidR="00531F76" w:rsidRDefault="00A47A7B" w:rsidP="0051519C">
      <w:pPr>
        <w:pStyle w:val="0Maintext"/>
        <w:spacing w:after="120" w:afterAutospacing="0" w:line="240" w:lineRule="auto"/>
        <w:ind w:firstLine="0"/>
        <w:rPr>
          <w:rFonts w:eastAsiaTheme="minorEastAsia"/>
          <w:sz w:val="22"/>
          <w:lang w:val="en-US" w:eastAsia="zh-CN"/>
        </w:rPr>
      </w:pPr>
      <w:r>
        <w:rPr>
          <w:rFonts w:eastAsiaTheme="minorEastAsia" w:hint="eastAsia"/>
          <w:sz w:val="22"/>
          <w:lang w:val="en-US" w:eastAsia="zh-CN"/>
        </w:rPr>
        <w:t>Regarding to transmission schemes</w:t>
      </w:r>
      <w:r>
        <w:rPr>
          <w:rFonts w:eastAsiaTheme="minorEastAsia"/>
          <w:sz w:val="22"/>
          <w:lang w:val="en-US" w:eastAsia="zh-CN"/>
        </w:rPr>
        <w:t>,</w:t>
      </w:r>
      <w:r>
        <w:rPr>
          <w:rFonts w:eastAsiaTheme="minorEastAsia" w:hint="eastAsia"/>
          <w:sz w:val="22"/>
          <w:lang w:val="en-US" w:eastAsia="zh-CN"/>
        </w:rPr>
        <w:t xml:space="preserve"> last meeting two schemes have been listed</w:t>
      </w:r>
      <w:r>
        <w:rPr>
          <w:rFonts w:eastAsiaTheme="minorEastAsia"/>
          <w:sz w:val="22"/>
          <w:lang w:val="en-US" w:eastAsia="zh-CN"/>
        </w:rPr>
        <w:t>: scheme 1 and scheme 2</w:t>
      </w:r>
      <w:r>
        <w:rPr>
          <w:rFonts w:eastAsiaTheme="minorEastAsia" w:hint="eastAsia"/>
          <w:sz w:val="22"/>
          <w:lang w:val="en-US" w:eastAsia="zh-CN"/>
        </w:rPr>
        <w:t xml:space="preserve">. </w:t>
      </w:r>
      <w:r>
        <w:rPr>
          <w:rFonts w:eastAsiaTheme="minorEastAsia"/>
          <w:sz w:val="22"/>
          <w:lang w:val="en-US" w:eastAsia="zh-CN"/>
        </w:rPr>
        <w:t xml:space="preserve">The </w:t>
      </w:r>
      <w:r w:rsidR="005668D9">
        <w:rPr>
          <w:rFonts w:eastAsiaTheme="minorEastAsia"/>
          <w:sz w:val="22"/>
          <w:lang w:val="en-US" w:eastAsia="zh-CN"/>
        </w:rPr>
        <w:t>main difference</w:t>
      </w:r>
      <w:r>
        <w:rPr>
          <w:rFonts w:eastAsiaTheme="minorEastAsia"/>
          <w:sz w:val="22"/>
          <w:lang w:val="en-US" w:eastAsia="zh-CN"/>
        </w:rPr>
        <w:t xml:space="preserve"> between the two schemes</w:t>
      </w:r>
      <w:r w:rsidR="005668D9">
        <w:rPr>
          <w:rFonts w:eastAsiaTheme="minorEastAsia"/>
          <w:sz w:val="22"/>
          <w:lang w:val="en-US" w:eastAsia="zh-CN"/>
        </w:rPr>
        <w:t xml:space="preserve"> lies in</w:t>
      </w:r>
      <w:r>
        <w:rPr>
          <w:rFonts w:eastAsiaTheme="minorEastAsia"/>
          <w:sz w:val="22"/>
          <w:lang w:val="en-US" w:eastAsia="zh-CN"/>
        </w:rPr>
        <w:t xml:space="preserve"> DMRS configuration. For scheme 1, DMRS are shared between TRPs and overhead could be saved, while for scheme 2,</w:t>
      </w:r>
      <w:r w:rsidR="005668D9">
        <w:rPr>
          <w:rFonts w:eastAsiaTheme="minorEastAsia"/>
          <w:sz w:val="22"/>
          <w:lang w:val="en-US" w:eastAsia="zh-CN"/>
        </w:rPr>
        <w:t xml:space="preserve"> DMRS is TRP-specifically configured, which would result in high code rate. Thus, we have the following proposal:</w:t>
      </w:r>
    </w:p>
    <w:p w14:paraId="0B0237EC" w14:textId="3A331F5F" w:rsidR="005668D9" w:rsidRDefault="005668D9" w:rsidP="005668D9">
      <w:pPr>
        <w:pStyle w:val="0Maintext"/>
        <w:spacing w:after="120" w:afterAutospacing="0" w:line="240" w:lineRule="auto"/>
        <w:ind w:firstLine="0"/>
        <w:rPr>
          <w:rFonts w:eastAsiaTheme="minorEastAsia"/>
          <w:b/>
          <w:i/>
          <w:sz w:val="22"/>
          <w:lang w:val="en-US" w:eastAsia="zh-CN"/>
        </w:rPr>
      </w:pPr>
      <w:r w:rsidRPr="00175790">
        <w:rPr>
          <w:rFonts w:eastAsiaTheme="minorEastAsia"/>
          <w:b/>
          <w:i/>
          <w:sz w:val="22"/>
          <w:lang w:val="en-US" w:eastAsia="zh-CN"/>
        </w:rPr>
        <w:t>Proposal</w:t>
      </w:r>
      <w:r w:rsidR="005531D0">
        <w:rPr>
          <w:rFonts w:eastAsiaTheme="minorEastAsia"/>
          <w:b/>
          <w:i/>
          <w:sz w:val="22"/>
          <w:lang w:val="en-US" w:eastAsia="zh-CN"/>
        </w:rPr>
        <w:t xml:space="preserve"> 3</w:t>
      </w:r>
      <w:r>
        <w:rPr>
          <w:rFonts w:eastAsiaTheme="minorEastAsia"/>
          <w:b/>
          <w:i/>
          <w:sz w:val="22"/>
          <w:lang w:val="en-US" w:eastAsia="zh-CN"/>
        </w:rPr>
        <w:t>: At least scheme 1 could be considered for SFNed PDSCH transmission.</w:t>
      </w:r>
    </w:p>
    <w:p w14:paraId="5A01DF14" w14:textId="20B7A077" w:rsidR="00A47A7B" w:rsidRDefault="005668D9" w:rsidP="0051519C">
      <w:pPr>
        <w:pStyle w:val="0Maintext"/>
        <w:spacing w:after="120" w:afterAutospacing="0" w:line="240" w:lineRule="auto"/>
        <w:ind w:firstLine="0"/>
        <w:rPr>
          <w:rFonts w:eastAsiaTheme="minorEastAsia"/>
          <w:sz w:val="22"/>
          <w:lang w:val="en-US" w:eastAsia="zh-CN"/>
        </w:rPr>
      </w:pPr>
      <w:r>
        <w:rPr>
          <w:rFonts w:eastAsiaTheme="minorEastAsia"/>
          <w:sz w:val="22"/>
          <w:lang w:val="en-US" w:eastAsia="zh-CN"/>
        </w:rPr>
        <w:t>Considering PDCCH repetition being discussed in AI 8.1.2.1, for scheme 1 we prefer to consider PDSCH with high priority. After AI 8.1.2.1 made decisions, then restart to discuss on PDCCH.</w:t>
      </w:r>
      <w:r w:rsidR="00ED3E1A">
        <w:rPr>
          <w:rFonts w:eastAsiaTheme="minorEastAsia"/>
          <w:sz w:val="22"/>
          <w:lang w:val="en-US" w:eastAsia="zh-CN"/>
        </w:rPr>
        <w:t xml:space="preserve"> </w:t>
      </w:r>
    </w:p>
    <w:p w14:paraId="66A6C0A1" w14:textId="3DC81CF0" w:rsidR="00ED3E1A" w:rsidRDefault="00ED3E1A" w:rsidP="00ED3E1A">
      <w:pPr>
        <w:pStyle w:val="0Maintext"/>
        <w:spacing w:after="120" w:afterAutospacing="0" w:line="240" w:lineRule="auto"/>
        <w:ind w:firstLine="0"/>
        <w:rPr>
          <w:rFonts w:eastAsiaTheme="minorEastAsia"/>
          <w:b/>
          <w:i/>
          <w:sz w:val="22"/>
          <w:lang w:val="en-US" w:eastAsia="zh-CN"/>
        </w:rPr>
      </w:pPr>
      <w:r w:rsidRPr="00175790">
        <w:rPr>
          <w:rFonts w:eastAsiaTheme="minorEastAsia"/>
          <w:b/>
          <w:i/>
          <w:sz w:val="22"/>
          <w:lang w:val="en-US" w:eastAsia="zh-CN"/>
        </w:rPr>
        <w:t>Proposal</w:t>
      </w:r>
      <w:r w:rsidR="005531D0">
        <w:rPr>
          <w:rFonts w:eastAsiaTheme="minorEastAsia"/>
          <w:b/>
          <w:i/>
          <w:sz w:val="22"/>
          <w:lang w:val="en-US" w:eastAsia="zh-CN"/>
        </w:rPr>
        <w:t xml:space="preserve"> 4</w:t>
      </w:r>
      <w:r>
        <w:rPr>
          <w:rFonts w:eastAsiaTheme="minorEastAsia"/>
          <w:b/>
          <w:i/>
          <w:sz w:val="22"/>
          <w:lang w:val="en-US" w:eastAsia="zh-CN"/>
        </w:rPr>
        <w:t>: For scheme 1, PDSCH as the target physical channel should</w:t>
      </w:r>
      <w:r w:rsidR="00C730F2">
        <w:rPr>
          <w:rFonts w:eastAsiaTheme="minorEastAsia"/>
          <w:b/>
          <w:i/>
          <w:sz w:val="22"/>
          <w:lang w:val="en-US" w:eastAsia="zh-CN"/>
        </w:rPr>
        <w:t xml:space="preserve"> be as</w:t>
      </w:r>
      <w:r>
        <w:rPr>
          <w:rFonts w:eastAsiaTheme="minorEastAsia"/>
          <w:b/>
          <w:i/>
          <w:sz w:val="22"/>
          <w:lang w:val="en-US" w:eastAsia="zh-CN"/>
        </w:rPr>
        <w:t xml:space="preserve"> high priority.</w:t>
      </w:r>
    </w:p>
    <w:p w14:paraId="3932C95A" w14:textId="362E8BB9" w:rsidR="00C730F2" w:rsidRDefault="00C730F2" w:rsidP="0051519C">
      <w:pPr>
        <w:pStyle w:val="0Maintext"/>
        <w:spacing w:after="120" w:afterAutospacing="0" w:line="240" w:lineRule="auto"/>
        <w:ind w:firstLine="0"/>
        <w:rPr>
          <w:rFonts w:eastAsiaTheme="minorEastAsia"/>
          <w:sz w:val="22"/>
          <w:lang w:val="en-US" w:eastAsia="zh-CN"/>
        </w:rPr>
      </w:pPr>
      <w:r>
        <w:rPr>
          <w:rFonts w:eastAsiaTheme="minorEastAsia" w:hint="eastAsia"/>
          <w:sz w:val="22"/>
          <w:lang w:val="en-US" w:eastAsia="zh-CN"/>
        </w:rPr>
        <w:t xml:space="preserve">In Rel-16 Multi-TRP operation, only </w:t>
      </w:r>
      <w:r>
        <w:rPr>
          <w:rFonts w:eastAsiaTheme="minorEastAsia"/>
          <w:sz w:val="22"/>
          <w:lang w:val="en-US" w:eastAsia="zh-CN"/>
        </w:rPr>
        <w:t xml:space="preserve">up to </w:t>
      </w:r>
      <w:r>
        <w:rPr>
          <w:rFonts w:eastAsiaTheme="minorEastAsia" w:hint="eastAsia"/>
          <w:sz w:val="22"/>
          <w:lang w:val="en-US" w:eastAsia="zh-CN"/>
        </w:rPr>
        <w:t xml:space="preserve">two TCI states </w:t>
      </w:r>
      <w:r>
        <w:rPr>
          <w:rFonts w:eastAsiaTheme="minorEastAsia"/>
          <w:sz w:val="22"/>
          <w:lang w:val="en-US" w:eastAsia="zh-CN"/>
        </w:rPr>
        <w:t xml:space="preserve">are required. In Rel-17 we </w:t>
      </w:r>
      <w:r w:rsidR="00B2038B">
        <w:rPr>
          <w:rFonts w:eastAsiaTheme="minorEastAsia"/>
          <w:sz w:val="22"/>
          <w:lang w:val="en-US" w:eastAsia="zh-CN"/>
        </w:rPr>
        <w:t xml:space="preserve">should </w:t>
      </w:r>
      <w:r>
        <w:rPr>
          <w:rFonts w:eastAsiaTheme="minorEastAsia"/>
          <w:sz w:val="22"/>
          <w:lang w:val="en-US" w:eastAsia="zh-CN"/>
        </w:rPr>
        <w:t>still obey the principle and there seems to be no need to enhance.</w:t>
      </w:r>
    </w:p>
    <w:p w14:paraId="0B5136DD" w14:textId="4FC77D87" w:rsidR="00C730F2" w:rsidRPr="00C730F2" w:rsidRDefault="00C730F2" w:rsidP="0051519C">
      <w:pPr>
        <w:pStyle w:val="0Maintext"/>
        <w:spacing w:after="120" w:afterAutospacing="0" w:line="240" w:lineRule="auto"/>
        <w:ind w:firstLine="0"/>
        <w:rPr>
          <w:rFonts w:eastAsiaTheme="minorEastAsia"/>
          <w:sz w:val="22"/>
          <w:lang w:val="en-US" w:eastAsia="zh-CN"/>
        </w:rPr>
      </w:pPr>
      <w:r w:rsidRPr="00175790">
        <w:rPr>
          <w:rFonts w:eastAsiaTheme="minorEastAsia"/>
          <w:b/>
          <w:i/>
          <w:sz w:val="22"/>
          <w:lang w:val="en-US" w:eastAsia="zh-CN"/>
        </w:rPr>
        <w:t>Proposal</w:t>
      </w:r>
      <w:r w:rsidR="005531D0">
        <w:rPr>
          <w:rFonts w:eastAsiaTheme="minorEastAsia"/>
          <w:b/>
          <w:i/>
          <w:sz w:val="22"/>
          <w:lang w:val="en-US" w:eastAsia="zh-CN"/>
        </w:rPr>
        <w:t xml:space="preserve"> 5</w:t>
      </w:r>
      <w:r>
        <w:rPr>
          <w:rFonts w:eastAsiaTheme="minorEastAsia"/>
          <w:b/>
          <w:i/>
          <w:sz w:val="22"/>
          <w:lang w:val="en-US" w:eastAsia="zh-CN"/>
        </w:rPr>
        <w:t>:</w:t>
      </w:r>
      <w:r w:rsidR="00B2038B">
        <w:rPr>
          <w:rFonts w:eastAsiaTheme="minorEastAsia"/>
          <w:b/>
          <w:i/>
          <w:sz w:val="22"/>
          <w:lang w:val="en-US" w:eastAsia="zh-CN"/>
        </w:rPr>
        <w:t xml:space="preserve"> Up to two QCL</w:t>
      </w:r>
      <w:r w:rsidR="00B2038B">
        <w:rPr>
          <w:rFonts w:eastAsiaTheme="minorEastAsia" w:hint="eastAsia"/>
          <w:b/>
          <w:i/>
          <w:sz w:val="22"/>
          <w:lang w:val="en-US" w:eastAsia="zh-CN"/>
        </w:rPr>
        <w:t>/</w:t>
      </w:r>
      <w:r w:rsidR="00B2038B">
        <w:rPr>
          <w:rFonts w:eastAsiaTheme="minorEastAsia"/>
          <w:b/>
          <w:i/>
          <w:sz w:val="22"/>
          <w:lang w:val="en-US" w:eastAsia="zh-CN"/>
        </w:rPr>
        <w:t>TCI states are considered for HST-SFN scenario</w:t>
      </w:r>
      <w:r>
        <w:rPr>
          <w:rFonts w:eastAsiaTheme="minorEastAsia"/>
          <w:b/>
          <w:i/>
          <w:sz w:val="22"/>
          <w:lang w:val="en-US" w:eastAsia="zh-CN"/>
        </w:rPr>
        <w:t>.</w:t>
      </w:r>
    </w:p>
    <w:p w14:paraId="70EEEC59" w14:textId="013E472B" w:rsidR="005668D9" w:rsidRDefault="00C730F2" w:rsidP="0051519C">
      <w:pPr>
        <w:pStyle w:val="0Maintext"/>
        <w:spacing w:after="120" w:afterAutospacing="0" w:line="240" w:lineRule="auto"/>
        <w:ind w:firstLine="0"/>
        <w:rPr>
          <w:rFonts w:eastAsiaTheme="minorEastAsia"/>
          <w:sz w:val="22"/>
          <w:lang w:val="en-US" w:eastAsia="zh-CN"/>
        </w:rPr>
      </w:pPr>
      <w:r>
        <w:rPr>
          <w:rFonts w:eastAsiaTheme="minorEastAsia" w:hint="eastAsia"/>
          <w:sz w:val="22"/>
          <w:lang w:val="en-US" w:eastAsia="zh-CN"/>
        </w:rPr>
        <w:t>In Re-16</w:t>
      </w:r>
      <w:r>
        <w:rPr>
          <w:rFonts w:eastAsiaTheme="minorEastAsia"/>
          <w:sz w:val="22"/>
          <w:lang w:val="en-US" w:eastAsia="zh-CN"/>
        </w:rPr>
        <w:t>, SDM</w:t>
      </w:r>
      <w:r w:rsidR="00B2038B">
        <w:rPr>
          <w:rFonts w:eastAsiaTheme="minorEastAsia"/>
          <w:sz w:val="22"/>
          <w:lang w:val="en-US" w:eastAsia="zh-CN"/>
        </w:rPr>
        <w:t>ed</w:t>
      </w:r>
      <w:r>
        <w:rPr>
          <w:rFonts w:eastAsiaTheme="minorEastAsia"/>
          <w:sz w:val="22"/>
          <w:lang w:val="en-US" w:eastAsia="zh-CN"/>
        </w:rPr>
        <w:t>, FDM</w:t>
      </w:r>
      <w:r w:rsidR="00B2038B">
        <w:rPr>
          <w:rFonts w:eastAsiaTheme="minorEastAsia"/>
          <w:sz w:val="22"/>
          <w:lang w:val="en-US" w:eastAsia="zh-CN"/>
        </w:rPr>
        <w:t>ed</w:t>
      </w:r>
      <w:r>
        <w:rPr>
          <w:rFonts w:eastAsiaTheme="minorEastAsia"/>
          <w:sz w:val="22"/>
          <w:lang w:val="en-US" w:eastAsia="zh-CN"/>
        </w:rPr>
        <w:t>, and TDM</w:t>
      </w:r>
      <w:r w:rsidR="00B2038B">
        <w:rPr>
          <w:rFonts w:eastAsiaTheme="minorEastAsia"/>
          <w:sz w:val="22"/>
          <w:lang w:val="en-US" w:eastAsia="zh-CN"/>
        </w:rPr>
        <w:t>ed</w:t>
      </w:r>
      <w:r>
        <w:rPr>
          <w:rFonts w:eastAsiaTheme="minorEastAsia"/>
          <w:sz w:val="22"/>
          <w:lang w:val="en-US" w:eastAsia="zh-CN"/>
        </w:rPr>
        <w:t xml:space="preserve"> PDSCH transmission across multiple TRP are all supported</w:t>
      </w:r>
      <w:r w:rsidR="00AB5194">
        <w:rPr>
          <w:rFonts w:eastAsiaTheme="minorEastAsia"/>
          <w:sz w:val="22"/>
          <w:lang w:val="en-US" w:eastAsia="zh-CN"/>
        </w:rPr>
        <w:t>, and DMRS ports from different TRPs are associated with different TCI states</w:t>
      </w:r>
      <w:r>
        <w:rPr>
          <w:rFonts w:eastAsiaTheme="minorEastAsia"/>
          <w:sz w:val="22"/>
          <w:lang w:val="en-US" w:eastAsia="zh-CN"/>
        </w:rPr>
        <w:t xml:space="preserve">. High layer signaling and DMRS configuration are used to differentiate these transmission schemes. </w:t>
      </w:r>
      <w:r w:rsidR="00AB5194">
        <w:rPr>
          <w:rFonts w:eastAsiaTheme="minorEastAsia"/>
          <w:sz w:val="22"/>
          <w:lang w:val="en-US" w:eastAsia="zh-CN"/>
        </w:rPr>
        <w:t>For SDM</w:t>
      </w:r>
      <w:r w:rsidR="00B2038B">
        <w:rPr>
          <w:rFonts w:eastAsiaTheme="minorEastAsia"/>
          <w:sz w:val="22"/>
          <w:lang w:val="en-US" w:eastAsia="zh-CN"/>
        </w:rPr>
        <w:t>ed</w:t>
      </w:r>
      <w:r w:rsidR="00AB5194">
        <w:rPr>
          <w:rFonts w:eastAsiaTheme="minorEastAsia"/>
          <w:sz w:val="22"/>
          <w:lang w:val="en-US" w:eastAsia="zh-CN"/>
        </w:rPr>
        <w:t xml:space="preserve"> PDSCH transmissions, DMRS ports are from different CDM groups, while for TDM</w:t>
      </w:r>
      <w:r w:rsidR="00B2038B">
        <w:rPr>
          <w:rFonts w:eastAsiaTheme="minorEastAsia"/>
          <w:sz w:val="22"/>
          <w:lang w:val="en-US" w:eastAsia="zh-CN"/>
        </w:rPr>
        <w:t>ed</w:t>
      </w:r>
      <w:r w:rsidR="00AB5194">
        <w:rPr>
          <w:rFonts w:eastAsiaTheme="minorEastAsia"/>
          <w:sz w:val="22"/>
          <w:lang w:val="en-US" w:eastAsia="zh-CN"/>
        </w:rPr>
        <w:t xml:space="preserve"> and FDM</w:t>
      </w:r>
      <w:r w:rsidR="00B2038B">
        <w:rPr>
          <w:rFonts w:eastAsiaTheme="minorEastAsia"/>
          <w:sz w:val="22"/>
          <w:lang w:val="en-US" w:eastAsia="zh-CN"/>
        </w:rPr>
        <w:t>ed</w:t>
      </w:r>
      <w:r w:rsidR="00AB5194">
        <w:rPr>
          <w:rFonts w:eastAsiaTheme="minorEastAsia"/>
          <w:sz w:val="22"/>
          <w:lang w:val="en-US" w:eastAsia="zh-CN"/>
        </w:rPr>
        <w:t xml:space="preserve"> PDSCH transmissions, DMRS ports are from the same CDM group. High layer signalling is used to differentiate TDM and FDM PDSCH transmissions. For scheme 1, all DMRS ports are associated with both TCI states. One simple scheme is to reuse the high layer signaling to differentiate scheme 1 and Rel-16 TDM/FDM schemes, and DMRS port(s) for scheme1 also could be confined into one CDM group.</w:t>
      </w:r>
    </w:p>
    <w:p w14:paraId="713F48F4" w14:textId="11EE2B99" w:rsidR="00AB5194" w:rsidRPr="00C730F2" w:rsidRDefault="00AB5194" w:rsidP="00AB5194">
      <w:pPr>
        <w:pStyle w:val="0Maintext"/>
        <w:spacing w:after="120" w:afterAutospacing="0" w:line="240" w:lineRule="auto"/>
        <w:ind w:firstLine="0"/>
        <w:rPr>
          <w:rFonts w:eastAsiaTheme="minorEastAsia"/>
          <w:sz w:val="22"/>
          <w:lang w:val="en-US" w:eastAsia="zh-CN"/>
        </w:rPr>
      </w:pPr>
      <w:r w:rsidRPr="00175790">
        <w:rPr>
          <w:rFonts w:eastAsiaTheme="minorEastAsia"/>
          <w:b/>
          <w:i/>
          <w:sz w:val="22"/>
          <w:lang w:val="en-US" w:eastAsia="zh-CN"/>
        </w:rPr>
        <w:t>Proposal</w:t>
      </w:r>
      <w:r w:rsidR="005531D0">
        <w:rPr>
          <w:rFonts w:eastAsiaTheme="minorEastAsia"/>
          <w:b/>
          <w:i/>
          <w:sz w:val="22"/>
          <w:lang w:val="en-US" w:eastAsia="zh-CN"/>
        </w:rPr>
        <w:t xml:space="preserve"> 6</w:t>
      </w:r>
      <w:r>
        <w:rPr>
          <w:rFonts w:eastAsiaTheme="minorEastAsia"/>
          <w:b/>
          <w:i/>
          <w:sz w:val="22"/>
          <w:lang w:val="en-US" w:eastAsia="zh-CN"/>
        </w:rPr>
        <w:t>: For scheme 1, DMRS port(s) should be from the same DMRS CDM group.</w:t>
      </w:r>
    </w:p>
    <w:p w14:paraId="0077A7DA" w14:textId="0EAB92D0" w:rsidR="00541ED8" w:rsidRPr="005531D0" w:rsidRDefault="00AB5194" w:rsidP="005531D0">
      <w:pPr>
        <w:pStyle w:val="0Maintext"/>
        <w:spacing w:after="120" w:afterAutospacing="0" w:line="240" w:lineRule="auto"/>
        <w:ind w:firstLine="0"/>
        <w:rPr>
          <w:rFonts w:eastAsiaTheme="minorEastAsia"/>
          <w:b/>
          <w:i/>
          <w:sz w:val="22"/>
          <w:lang w:val="en-US" w:eastAsia="zh-CN"/>
        </w:rPr>
      </w:pPr>
      <w:r w:rsidRPr="00175790">
        <w:rPr>
          <w:rFonts w:eastAsiaTheme="minorEastAsia"/>
          <w:b/>
          <w:i/>
          <w:sz w:val="22"/>
          <w:lang w:val="en-US" w:eastAsia="zh-CN"/>
        </w:rPr>
        <w:t>Proposal</w:t>
      </w:r>
      <w:r w:rsidR="005531D0">
        <w:rPr>
          <w:rFonts w:eastAsiaTheme="minorEastAsia"/>
          <w:b/>
          <w:i/>
          <w:sz w:val="22"/>
          <w:lang w:val="en-US" w:eastAsia="zh-CN"/>
        </w:rPr>
        <w:t xml:space="preserve"> 7</w:t>
      </w:r>
      <w:r>
        <w:rPr>
          <w:rFonts w:eastAsiaTheme="minorEastAsia"/>
          <w:b/>
          <w:i/>
          <w:sz w:val="22"/>
          <w:lang w:val="en-US" w:eastAsia="zh-CN"/>
        </w:rPr>
        <w:t>: For scheme 1, reuse Rel-16 high layer signaling to differentiate</w:t>
      </w:r>
      <w:r w:rsidRPr="00AB5194">
        <w:rPr>
          <w:rFonts w:eastAsiaTheme="minorEastAsia"/>
          <w:b/>
          <w:i/>
          <w:sz w:val="22"/>
          <w:lang w:val="en-US" w:eastAsia="zh-CN"/>
        </w:rPr>
        <w:t xml:space="preserve"> with Rel-16 non-SFNed transmission schemes with multiple QCL/TCI states</w:t>
      </w:r>
      <w:r>
        <w:rPr>
          <w:rFonts w:eastAsiaTheme="minorEastAsia"/>
          <w:b/>
          <w:i/>
          <w:sz w:val="22"/>
          <w:lang w:val="en-US" w:eastAsia="zh-CN"/>
        </w:rPr>
        <w:t>.</w:t>
      </w:r>
    </w:p>
    <w:p w14:paraId="315CAF9D" w14:textId="77777777" w:rsidR="000C587C" w:rsidRPr="00E529B8" w:rsidRDefault="000C587C" w:rsidP="00D7188C">
      <w:pPr>
        <w:rPr>
          <w:sz w:val="28"/>
          <w:lang w:eastAsia="zh-CN"/>
        </w:rPr>
      </w:pPr>
    </w:p>
    <w:p w14:paraId="16E1DA0F" w14:textId="77777777" w:rsidR="007C2BDF" w:rsidRDefault="007C2BDF" w:rsidP="000B47B8">
      <w:pPr>
        <w:pStyle w:val="1"/>
        <w:rPr>
          <w:lang w:eastAsia="zh-CN"/>
        </w:rPr>
      </w:pPr>
      <w:r>
        <w:rPr>
          <w:lang w:eastAsia="zh-CN"/>
        </w:rPr>
        <w:t xml:space="preserve">Conclusion </w:t>
      </w:r>
    </w:p>
    <w:p w14:paraId="65A13D82" w14:textId="32C15CED" w:rsidR="007C2BDF" w:rsidRPr="0020632D" w:rsidRDefault="007C2BDF" w:rsidP="007C2BDF">
      <w:pPr>
        <w:rPr>
          <w:lang w:eastAsia="zh-CN"/>
        </w:rPr>
      </w:pPr>
      <w:r w:rsidRPr="0020632D">
        <w:rPr>
          <w:lang w:eastAsia="zh-CN"/>
        </w:rPr>
        <w:t>In this contribution, we provide our opinions on</w:t>
      </w:r>
      <w:r w:rsidR="00E252A4" w:rsidRPr="0020632D">
        <w:rPr>
          <w:lang w:eastAsia="zh-CN"/>
        </w:rPr>
        <w:t xml:space="preserve"> HST-SFN deployment scenario:</w:t>
      </w:r>
    </w:p>
    <w:p w14:paraId="043C93D6" w14:textId="77777777" w:rsidR="005531D0" w:rsidRDefault="005531D0" w:rsidP="005531D0">
      <w:pPr>
        <w:pStyle w:val="0Maintext"/>
        <w:spacing w:after="120" w:afterAutospacing="0" w:line="240" w:lineRule="auto"/>
        <w:ind w:firstLine="0"/>
        <w:rPr>
          <w:rFonts w:eastAsiaTheme="minorEastAsia"/>
          <w:b/>
          <w:i/>
          <w:sz w:val="22"/>
          <w:lang w:val="en-US" w:eastAsia="zh-CN"/>
        </w:rPr>
      </w:pPr>
      <w:r w:rsidRPr="00175790">
        <w:rPr>
          <w:rFonts w:eastAsiaTheme="minorEastAsia"/>
          <w:b/>
          <w:i/>
          <w:sz w:val="22"/>
          <w:lang w:val="en-US" w:eastAsia="zh-CN"/>
        </w:rPr>
        <w:t>Proposal</w:t>
      </w:r>
      <w:r>
        <w:rPr>
          <w:rFonts w:eastAsiaTheme="minorEastAsia"/>
          <w:b/>
          <w:i/>
          <w:sz w:val="22"/>
          <w:lang w:val="en-US" w:eastAsia="zh-CN"/>
        </w:rPr>
        <w:t xml:space="preserve"> 1: For </w:t>
      </w:r>
      <w:r w:rsidRPr="00A47A7B">
        <w:rPr>
          <w:rFonts w:eastAsiaTheme="minorEastAsia"/>
          <w:b/>
          <w:i/>
          <w:sz w:val="22"/>
          <w:lang w:val="en-US" w:eastAsia="zh-CN"/>
        </w:rPr>
        <w:t>indication of the carrier frequency determined based on the received TRS resource(s) in the 1st step, support option 1.</w:t>
      </w:r>
    </w:p>
    <w:p w14:paraId="5A7EDD10" w14:textId="0024F8E3" w:rsidR="005531D0" w:rsidRPr="005531D0" w:rsidRDefault="005531D0" w:rsidP="005531D0">
      <w:pPr>
        <w:pStyle w:val="0Maintext"/>
        <w:spacing w:after="120" w:afterAutospacing="0" w:line="240" w:lineRule="auto"/>
        <w:ind w:firstLine="0"/>
        <w:rPr>
          <w:rFonts w:eastAsiaTheme="minorEastAsia"/>
          <w:b/>
          <w:i/>
          <w:sz w:val="22"/>
          <w:lang w:val="en-US" w:eastAsia="zh-CN"/>
        </w:rPr>
      </w:pPr>
      <w:r w:rsidRPr="00175790">
        <w:rPr>
          <w:rFonts w:eastAsiaTheme="minorEastAsia"/>
          <w:b/>
          <w:i/>
          <w:sz w:val="22"/>
          <w:lang w:val="en-US" w:eastAsia="zh-CN"/>
        </w:rPr>
        <w:t>Proposal</w:t>
      </w:r>
      <w:r w:rsidR="00B2038B">
        <w:rPr>
          <w:rFonts w:eastAsiaTheme="minorEastAsia"/>
          <w:b/>
          <w:i/>
          <w:sz w:val="22"/>
          <w:lang w:val="en-US" w:eastAsia="zh-CN"/>
        </w:rPr>
        <w:t xml:space="preserve"> 2: New QCL type could</w:t>
      </w:r>
      <w:r>
        <w:rPr>
          <w:rFonts w:eastAsiaTheme="minorEastAsia"/>
          <w:b/>
          <w:i/>
          <w:sz w:val="22"/>
          <w:lang w:val="en-US" w:eastAsia="zh-CN"/>
        </w:rPr>
        <w:t xml:space="preserve"> be introduced, e.g., Doppler related parameters should not be included.</w:t>
      </w:r>
    </w:p>
    <w:p w14:paraId="502C998B" w14:textId="7C1A372C" w:rsidR="005531D0" w:rsidRPr="005531D0" w:rsidRDefault="005531D0" w:rsidP="005531D0">
      <w:pPr>
        <w:pStyle w:val="0Maintext"/>
        <w:spacing w:after="120" w:afterAutospacing="0" w:line="240" w:lineRule="auto"/>
        <w:ind w:firstLine="0"/>
        <w:rPr>
          <w:rFonts w:eastAsiaTheme="minorEastAsia"/>
          <w:b/>
          <w:i/>
          <w:sz w:val="22"/>
          <w:lang w:val="en-US" w:eastAsia="zh-CN"/>
        </w:rPr>
      </w:pPr>
      <w:r w:rsidRPr="00175790">
        <w:rPr>
          <w:rFonts w:eastAsiaTheme="minorEastAsia"/>
          <w:b/>
          <w:i/>
          <w:sz w:val="22"/>
          <w:lang w:val="en-US" w:eastAsia="zh-CN"/>
        </w:rPr>
        <w:t>Proposal</w:t>
      </w:r>
      <w:r>
        <w:rPr>
          <w:rFonts w:eastAsiaTheme="minorEastAsia"/>
          <w:b/>
          <w:i/>
          <w:sz w:val="22"/>
          <w:lang w:val="en-US" w:eastAsia="zh-CN"/>
        </w:rPr>
        <w:t xml:space="preserve"> 3: At least scheme 1 could be considered for SFNed PDSCH transmission.</w:t>
      </w:r>
    </w:p>
    <w:p w14:paraId="5A0B3A31" w14:textId="77777777" w:rsidR="005531D0" w:rsidRDefault="005531D0" w:rsidP="005531D0">
      <w:pPr>
        <w:pStyle w:val="0Maintext"/>
        <w:spacing w:after="120" w:afterAutospacing="0" w:line="240" w:lineRule="auto"/>
        <w:ind w:firstLine="0"/>
        <w:rPr>
          <w:rFonts w:eastAsiaTheme="minorEastAsia"/>
          <w:b/>
          <w:i/>
          <w:sz w:val="22"/>
          <w:lang w:val="en-US" w:eastAsia="zh-CN"/>
        </w:rPr>
      </w:pPr>
      <w:r w:rsidRPr="00175790">
        <w:rPr>
          <w:rFonts w:eastAsiaTheme="minorEastAsia"/>
          <w:b/>
          <w:i/>
          <w:sz w:val="22"/>
          <w:lang w:val="en-US" w:eastAsia="zh-CN"/>
        </w:rPr>
        <w:t>Proposal</w:t>
      </w:r>
      <w:r>
        <w:rPr>
          <w:rFonts w:eastAsiaTheme="minorEastAsia"/>
          <w:b/>
          <w:i/>
          <w:sz w:val="22"/>
          <w:lang w:val="en-US" w:eastAsia="zh-CN"/>
        </w:rPr>
        <w:t xml:space="preserve"> 4: For scheme 1, PDSCH as the target physical channel should be as high priority.</w:t>
      </w:r>
    </w:p>
    <w:p w14:paraId="381B4681" w14:textId="77777777" w:rsidR="00B2038B" w:rsidRPr="00C730F2" w:rsidRDefault="00B2038B" w:rsidP="00B2038B">
      <w:pPr>
        <w:pStyle w:val="0Maintext"/>
        <w:spacing w:after="120" w:afterAutospacing="0" w:line="240" w:lineRule="auto"/>
        <w:ind w:firstLine="0"/>
        <w:rPr>
          <w:rFonts w:eastAsiaTheme="minorEastAsia"/>
          <w:sz w:val="22"/>
          <w:lang w:val="en-US" w:eastAsia="zh-CN"/>
        </w:rPr>
      </w:pPr>
      <w:r w:rsidRPr="00175790">
        <w:rPr>
          <w:rFonts w:eastAsiaTheme="minorEastAsia"/>
          <w:b/>
          <w:i/>
          <w:sz w:val="22"/>
          <w:lang w:val="en-US" w:eastAsia="zh-CN"/>
        </w:rPr>
        <w:t>Proposal</w:t>
      </w:r>
      <w:r>
        <w:rPr>
          <w:rFonts w:eastAsiaTheme="minorEastAsia"/>
          <w:b/>
          <w:i/>
          <w:sz w:val="22"/>
          <w:lang w:val="en-US" w:eastAsia="zh-CN"/>
        </w:rPr>
        <w:t xml:space="preserve"> 5: Up to two QCL</w:t>
      </w:r>
      <w:r>
        <w:rPr>
          <w:rFonts w:eastAsiaTheme="minorEastAsia" w:hint="eastAsia"/>
          <w:b/>
          <w:i/>
          <w:sz w:val="22"/>
          <w:lang w:val="en-US" w:eastAsia="zh-CN"/>
        </w:rPr>
        <w:t>/</w:t>
      </w:r>
      <w:r>
        <w:rPr>
          <w:rFonts w:eastAsiaTheme="minorEastAsia"/>
          <w:b/>
          <w:i/>
          <w:sz w:val="22"/>
          <w:lang w:val="en-US" w:eastAsia="zh-CN"/>
        </w:rPr>
        <w:t>TCI states are considered for HST-SFN scenario.</w:t>
      </w:r>
    </w:p>
    <w:p w14:paraId="308B16E4" w14:textId="77777777" w:rsidR="005531D0" w:rsidRPr="00C730F2" w:rsidRDefault="005531D0" w:rsidP="005531D0">
      <w:pPr>
        <w:pStyle w:val="0Maintext"/>
        <w:spacing w:after="120" w:afterAutospacing="0" w:line="240" w:lineRule="auto"/>
        <w:ind w:firstLine="0"/>
        <w:rPr>
          <w:rFonts w:eastAsiaTheme="minorEastAsia"/>
          <w:sz w:val="22"/>
          <w:lang w:val="en-US" w:eastAsia="zh-CN"/>
        </w:rPr>
      </w:pPr>
      <w:r w:rsidRPr="00175790">
        <w:rPr>
          <w:rFonts w:eastAsiaTheme="minorEastAsia"/>
          <w:b/>
          <w:i/>
          <w:sz w:val="22"/>
          <w:lang w:val="en-US" w:eastAsia="zh-CN"/>
        </w:rPr>
        <w:t>Proposal</w:t>
      </w:r>
      <w:r>
        <w:rPr>
          <w:rFonts w:eastAsiaTheme="minorEastAsia"/>
          <w:b/>
          <w:i/>
          <w:sz w:val="22"/>
          <w:lang w:val="en-US" w:eastAsia="zh-CN"/>
        </w:rPr>
        <w:t xml:space="preserve"> 6: For scheme 1, DMRS port(s) should be from the same DMRS CDM group.</w:t>
      </w:r>
    </w:p>
    <w:p w14:paraId="36B3F357" w14:textId="79365AE7" w:rsidR="005531D0" w:rsidRPr="005531D0" w:rsidRDefault="005531D0" w:rsidP="008D5DD6">
      <w:pPr>
        <w:pStyle w:val="0Maintext"/>
        <w:spacing w:after="120" w:afterAutospacing="0" w:line="240" w:lineRule="auto"/>
        <w:ind w:firstLine="0"/>
        <w:rPr>
          <w:rFonts w:eastAsiaTheme="minorEastAsia"/>
          <w:b/>
          <w:i/>
          <w:sz w:val="22"/>
          <w:lang w:val="en-US" w:eastAsia="zh-CN"/>
        </w:rPr>
      </w:pPr>
      <w:r w:rsidRPr="00175790">
        <w:rPr>
          <w:rFonts w:eastAsiaTheme="minorEastAsia"/>
          <w:b/>
          <w:i/>
          <w:sz w:val="22"/>
          <w:lang w:val="en-US" w:eastAsia="zh-CN"/>
        </w:rPr>
        <w:t>Proposal</w:t>
      </w:r>
      <w:r>
        <w:rPr>
          <w:rFonts w:eastAsiaTheme="minorEastAsia"/>
          <w:b/>
          <w:i/>
          <w:sz w:val="22"/>
          <w:lang w:val="en-US" w:eastAsia="zh-CN"/>
        </w:rPr>
        <w:t xml:space="preserve"> 7: For scheme 1, reuse Rel-16 high la</w:t>
      </w:r>
      <w:bookmarkStart w:id="2" w:name="_GoBack"/>
      <w:bookmarkEnd w:id="2"/>
      <w:r>
        <w:rPr>
          <w:rFonts w:eastAsiaTheme="minorEastAsia"/>
          <w:b/>
          <w:i/>
          <w:sz w:val="22"/>
          <w:lang w:val="en-US" w:eastAsia="zh-CN"/>
        </w:rPr>
        <w:t>yer signaling to differentiate</w:t>
      </w:r>
      <w:r w:rsidRPr="00AB5194">
        <w:rPr>
          <w:rFonts w:eastAsiaTheme="minorEastAsia"/>
          <w:b/>
          <w:i/>
          <w:sz w:val="22"/>
          <w:lang w:val="en-US" w:eastAsia="zh-CN"/>
        </w:rPr>
        <w:t xml:space="preserve"> with Rel-16 non-SFNed transmission schemes with multiple QCL/TCI states</w:t>
      </w:r>
      <w:r>
        <w:rPr>
          <w:rFonts w:eastAsiaTheme="minorEastAsia"/>
          <w:b/>
          <w:i/>
          <w:sz w:val="22"/>
          <w:lang w:val="en-US" w:eastAsia="zh-CN"/>
        </w:rPr>
        <w:t>.</w:t>
      </w:r>
    </w:p>
    <w:p w14:paraId="63CDB4E2" w14:textId="77777777" w:rsidR="007C2BDF" w:rsidRPr="00175790" w:rsidRDefault="007C2BDF" w:rsidP="007B2144">
      <w:pPr>
        <w:rPr>
          <w:lang w:eastAsia="zh-CN"/>
        </w:rPr>
      </w:pPr>
    </w:p>
    <w:p w14:paraId="4207A91E" w14:textId="4DB17F8D" w:rsidR="00DC15A0" w:rsidRPr="00D65098" w:rsidRDefault="007C2BDF" w:rsidP="000B47B8">
      <w:pPr>
        <w:pStyle w:val="1"/>
        <w:rPr>
          <w:lang w:eastAsia="zh-CN"/>
        </w:rPr>
      </w:pPr>
      <w:r>
        <w:rPr>
          <w:lang w:eastAsia="zh-CN"/>
        </w:rPr>
        <w:t>Reference</w:t>
      </w:r>
    </w:p>
    <w:bookmarkEnd w:id="1"/>
    <w:p w14:paraId="758AB3D8" w14:textId="0BC4BC2F" w:rsidR="0051519C" w:rsidRPr="0051519C" w:rsidRDefault="0051519C" w:rsidP="0051519C">
      <w:pPr>
        <w:pStyle w:val="af3"/>
        <w:numPr>
          <w:ilvl w:val="0"/>
          <w:numId w:val="56"/>
        </w:numPr>
        <w:ind w:firstLineChars="0"/>
      </w:pPr>
      <w:r w:rsidRPr="0087766D">
        <w:t>Draft Repor</w:t>
      </w:r>
      <w:r>
        <w:t>t of 3GPP TSG RAN WG1 #102e</w:t>
      </w:r>
    </w:p>
    <w:sectPr w:rsidR="0051519C"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08B7CF" w14:textId="77777777" w:rsidR="007967B1" w:rsidRDefault="007967B1">
      <w:r>
        <w:separator/>
      </w:r>
    </w:p>
  </w:endnote>
  <w:endnote w:type="continuationSeparator" w:id="0">
    <w:p w14:paraId="5ED640A5" w14:textId="77777777" w:rsidR="007967B1" w:rsidRDefault="00796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010505" w14:textId="77777777" w:rsidR="007967B1" w:rsidRDefault="007967B1">
      <w:r>
        <w:separator/>
      </w:r>
    </w:p>
  </w:footnote>
  <w:footnote w:type="continuationSeparator" w:id="0">
    <w:p w14:paraId="697267DF" w14:textId="77777777" w:rsidR="007967B1" w:rsidRDefault="007967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F2926"/>
    <w:multiLevelType w:val="multilevel"/>
    <w:tmpl w:val="060F292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6B61770"/>
    <w:multiLevelType w:val="hybridMultilevel"/>
    <w:tmpl w:val="B464F220"/>
    <w:lvl w:ilvl="0" w:tplc="8FCAA31C">
      <w:start w:val="1"/>
      <w:numFmt w:val="bullet"/>
      <w:lvlText w:val="-"/>
      <w:lvlJc w:val="left"/>
      <w:pPr>
        <w:ind w:left="1210" w:hanging="360"/>
      </w:pPr>
      <w:rPr>
        <w:rFonts w:ascii="Times New Roman" w:eastAsiaTheme="minorEastAsia" w:hAnsi="Times New Roman" w:cs="Times New Roman" w:hint="default"/>
        <w:b/>
        <w:i/>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2" w15:restartNumberingAfterBreak="0">
    <w:nsid w:val="080430E6"/>
    <w:multiLevelType w:val="multilevel"/>
    <w:tmpl w:val="080430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B65226"/>
    <w:multiLevelType w:val="hybridMultilevel"/>
    <w:tmpl w:val="725EE696"/>
    <w:lvl w:ilvl="0" w:tplc="D95E9F2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8E312EE"/>
    <w:multiLevelType w:val="hybridMultilevel"/>
    <w:tmpl w:val="BD248D36"/>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5"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15:restartNumberingAfterBreak="0">
    <w:nsid w:val="0AFE5346"/>
    <w:multiLevelType w:val="hybridMultilevel"/>
    <w:tmpl w:val="BA1A2CE4"/>
    <w:lvl w:ilvl="0" w:tplc="700286F4">
      <w:start w:val="2"/>
      <w:numFmt w:val="bullet"/>
      <w:lvlText w:val=""/>
      <w:lvlJc w:val="left"/>
      <w:pPr>
        <w:ind w:left="360" w:hanging="360"/>
      </w:pPr>
      <w:rPr>
        <w:rFonts w:ascii="Wingdings" w:eastAsiaTheme="minorEastAsia" w:hAnsi="Wingdings" w:cs="Batang"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DA6CA7"/>
    <w:multiLevelType w:val="hybridMultilevel"/>
    <w:tmpl w:val="435A41C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CCE63F0"/>
    <w:multiLevelType w:val="hybridMultilevel"/>
    <w:tmpl w:val="6F569BCE"/>
    <w:lvl w:ilvl="0" w:tplc="E2AC7E40">
      <w:start w:val="1"/>
      <w:numFmt w:val="bullet"/>
      <w:lvlText w:val="−"/>
      <w:lvlJc w:val="left"/>
      <w:pPr>
        <w:ind w:left="850" w:hanging="420"/>
      </w:pPr>
      <w:rPr>
        <w:rFonts w:ascii="Arial" w:hAnsi="Arial" w:cs="Arial"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9" w15:restartNumberingAfterBreak="0">
    <w:nsid w:val="0E0474BA"/>
    <w:multiLevelType w:val="multilevel"/>
    <w:tmpl w:val="0E0474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9765C5"/>
    <w:multiLevelType w:val="hybridMultilevel"/>
    <w:tmpl w:val="242C30CE"/>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 w15:restartNumberingAfterBreak="0">
    <w:nsid w:val="0E9A4E77"/>
    <w:multiLevelType w:val="hybridMultilevel"/>
    <w:tmpl w:val="F26CDFD8"/>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FB64F8"/>
    <w:multiLevelType w:val="hybridMultilevel"/>
    <w:tmpl w:val="2892F4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1B21F7A"/>
    <w:multiLevelType w:val="hybridMultilevel"/>
    <w:tmpl w:val="9782DF92"/>
    <w:lvl w:ilvl="0" w:tplc="8FCAA31C">
      <w:start w:val="1"/>
      <w:numFmt w:val="bullet"/>
      <w:lvlText w:val="-"/>
      <w:lvlJc w:val="left"/>
      <w:pPr>
        <w:ind w:left="780" w:hanging="360"/>
      </w:pPr>
      <w:rPr>
        <w:rFonts w:ascii="Times New Roman" w:eastAsiaTheme="minorEastAsia" w:hAnsi="Times New Roman" w:cs="Times New Roman"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299292E"/>
    <w:multiLevelType w:val="multilevel"/>
    <w:tmpl w:val="12992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320276"/>
    <w:multiLevelType w:val="hybridMultilevel"/>
    <w:tmpl w:val="1F8CC0A2"/>
    <w:lvl w:ilvl="0" w:tplc="E2AC7E40">
      <w:start w:val="1"/>
      <w:numFmt w:val="bullet"/>
      <w:lvlText w:val="−"/>
      <w:lvlJc w:val="left"/>
      <w:pPr>
        <w:ind w:left="1700" w:hanging="420"/>
      </w:pPr>
      <w:rPr>
        <w:rFonts w:ascii="Arial" w:hAnsi="Arial" w:cs="Arial" w:hint="default"/>
      </w:rPr>
    </w:lvl>
    <w:lvl w:ilvl="1" w:tplc="04090003" w:tentative="1">
      <w:start w:val="1"/>
      <w:numFmt w:val="bullet"/>
      <w:lvlText w:val=""/>
      <w:lvlJc w:val="left"/>
      <w:pPr>
        <w:ind w:left="2120" w:hanging="420"/>
      </w:pPr>
      <w:rPr>
        <w:rFonts w:ascii="Wingdings" w:hAnsi="Wingdings" w:hint="default"/>
      </w:rPr>
    </w:lvl>
    <w:lvl w:ilvl="2" w:tplc="04090005" w:tentative="1">
      <w:start w:val="1"/>
      <w:numFmt w:val="bullet"/>
      <w:lvlText w:val=""/>
      <w:lvlJc w:val="left"/>
      <w:pPr>
        <w:ind w:left="2540" w:hanging="420"/>
      </w:pPr>
      <w:rPr>
        <w:rFonts w:ascii="Wingdings" w:hAnsi="Wingdings" w:hint="default"/>
      </w:rPr>
    </w:lvl>
    <w:lvl w:ilvl="3" w:tplc="04090001" w:tentative="1">
      <w:start w:val="1"/>
      <w:numFmt w:val="bullet"/>
      <w:lvlText w:val=""/>
      <w:lvlJc w:val="left"/>
      <w:pPr>
        <w:ind w:left="2960" w:hanging="420"/>
      </w:pPr>
      <w:rPr>
        <w:rFonts w:ascii="Wingdings" w:hAnsi="Wingdings" w:hint="default"/>
      </w:rPr>
    </w:lvl>
    <w:lvl w:ilvl="4" w:tplc="04090003" w:tentative="1">
      <w:start w:val="1"/>
      <w:numFmt w:val="bullet"/>
      <w:lvlText w:val=""/>
      <w:lvlJc w:val="left"/>
      <w:pPr>
        <w:ind w:left="3380" w:hanging="420"/>
      </w:pPr>
      <w:rPr>
        <w:rFonts w:ascii="Wingdings" w:hAnsi="Wingdings" w:hint="default"/>
      </w:rPr>
    </w:lvl>
    <w:lvl w:ilvl="5" w:tplc="04090005" w:tentative="1">
      <w:start w:val="1"/>
      <w:numFmt w:val="bullet"/>
      <w:lvlText w:val=""/>
      <w:lvlJc w:val="left"/>
      <w:pPr>
        <w:ind w:left="3800" w:hanging="420"/>
      </w:pPr>
      <w:rPr>
        <w:rFonts w:ascii="Wingdings" w:hAnsi="Wingdings" w:hint="default"/>
      </w:rPr>
    </w:lvl>
    <w:lvl w:ilvl="6" w:tplc="04090001" w:tentative="1">
      <w:start w:val="1"/>
      <w:numFmt w:val="bullet"/>
      <w:lvlText w:val=""/>
      <w:lvlJc w:val="left"/>
      <w:pPr>
        <w:ind w:left="4220" w:hanging="420"/>
      </w:pPr>
      <w:rPr>
        <w:rFonts w:ascii="Wingdings" w:hAnsi="Wingdings" w:hint="default"/>
      </w:rPr>
    </w:lvl>
    <w:lvl w:ilvl="7" w:tplc="04090003" w:tentative="1">
      <w:start w:val="1"/>
      <w:numFmt w:val="bullet"/>
      <w:lvlText w:val=""/>
      <w:lvlJc w:val="left"/>
      <w:pPr>
        <w:ind w:left="4640" w:hanging="420"/>
      </w:pPr>
      <w:rPr>
        <w:rFonts w:ascii="Wingdings" w:hAnsi="Wingdings" w:hint="default"/>
      </w:rPr>
    </w:lvl>
    <w:lvl w:ilvl="8" w:tplc="04090005" w:tentative="1">
      <w:start w:val="1"/>
      <w:numFmt w:val="bullet"/>
      <w:lvlText w:val=""/>
      <w:lvlJc w:val="left"/>
      <w:pPr>
        <w:ind w:left="5060" w:hanging="420"/>
      </w:pPr>
      <w:rPr>
        <w:rFonts w:ascii="Wingdings" w:hAnsi="Wingdings" w:hint="default"/>
      </w:rPr>
    </w:lvl>
  </w:abstractNum>
  <w:abstractNum w:abstractNumId="17" w15:restartNumberingAfterBreak="0">
    <w:nsid w:val="1B362CC3"/>
    <w:multiLevelType w:val="hybridMultilevel"/>
    <w:tmpl w:val="EBC2056E"/>
    <w:lvl w:ilvl="0" w:tplc="7B18A40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DE05BFF"/>
    <w:multiLevelType w:val="multilevel"/>
    <w:tmpl w:val="1DE05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AFF0251"/>
    <w:multiLevelType w:val="hybridMultilevel"/>
    <w:tmpl w:val="E320BE4E"/>
    <w:lvl w:ilvl="0" w:tplc="8FCAA31C">
      <w:start w:val="1"/>
      <w:numFmt w:val="bullet"/>
      <w:lvlText w:val="-"/>
      <w:lvlJc w:val="left"/>
      <w:pPr>
        <w:ind w:left="780" w:hanging="360"/>
      </w:pPr>
      <w:rPr>
        <w:rFonts w:ascii="Times New Roman" w:eastAsiaTheme="minorEastAsia" w:hAnsi="Times New Roman" w:cs="Times New Roman" w:hint="default"/>
        <w:b/>
        <w:i/>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3C03117A"/>
    <w:multiLevelType w:val="hybridMultilevel"/>
    <w:tmpl w:val="F482B0D0"/>
    <w:lvl w:ilvl="0" w:tplc="20582BEA">
      <w:numFmt w:val="bullet"/>
      <w:lvlText w:val=""/>
      <w:lvlJc w:val="left"/>
      <w:pPr>
        <w:ind w:left="360" w:hanging="360"/>
      </w:pPr>
      <w:rPr>
        <w:rFonts w:ascii="Wingdings" w:eastAsia="Malgun Gothic"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C7D3EE5"/>
    <w:multiLevelType w:val="hybridMultilevel"/>
    <w:tmpl w:val="0B423452"/>
    <w:lvl w:ilvl="0" w:tplc="8FCAA31C">
      <w:start w:val="1"/>
      <w:numFmt w:val="bullet"/>
      <w:lvlText w:val="-"/>
      <w:lvlJc w:val="left"/>
      <w:pPr>
        <w:ind w:left="845" w:hanging="420"/>
      </w:pPr>
      <w:rPr>
        <w:rFonts w:ascii="Times New Roman" w:eastAsiaTheme="minorEastAsia" w:hAnsi="Times New Roman" w:cs="Times New Roman" w:hint="default"/>
        <w:b/>
        <w:i/>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15:restartNumberingAfterBreak="0">
    <w:nsid w:val="3CAD7782"/>
    <w:multiLevelType w:val="hybridMultilevel"/>
    <w:tmpl w:val="EF308E34"/>
    <w:lvl w:ilvl="0" w:tplc="2F8439DA">
      <w:start w:val="2"/>
      <w:numFmt w:val="bullet"/>
      <w:lvlText w:val="-"/>
      <w:lvlJc w:val="left"/>
      <w:pPr>
        <w:ind w:left="855" w:hanging="360"/>
      </w:pPr>
      <w:rPr>
        <w:rFonts w:ascii="Times New Roman" w:eastAsiaTheme="minorEastAsia" w:hAnsi="Times New Roman" w:cs="Times New Roman" w:hint="default"/>
      </w:rPr>
    </w:lvl>
    <w:lvl w:ilvl="1" w:tplc="04090003" w:tentative="1">
      <w:start w:val="1"/>
      <w:numFmt w:val="bullet"/>
      <w:lvlText w:val=""/>
      <w:lvlJc w:val="left"/>
      <w:pPr>
        <w:ind w:left="1335" w:hanging="420"/>
      </w:pPr>
      <w:rPr>
        <w:rFonts w:ascii="Wingdings" w:hAnsi="Wingdings" w:hint="default"/>
      </w:rPr>
    </w:lvl>
    <w:lvl w:ilvl="2" w:tplc="04090005" w:tentative="1">
      <w:start w:val="1"/>
      <w:numFmt w:val="bullet"/>
      <w:lvlText w:val=""/>
      <w:lvlJc w:val="left"/>
      <w:pPr>
        <w:ind w:left="1755" w:hanging="420"/>
      </w:pPr>
      <w:rPr>
        <w:rFonts w:ascii="Wingdings" w:hAnsi="Wingdings" w:hint="default"/>
      </w:rPr>
    </w:lvl>
    <w:lvl w:ilvl="3" w:tplc="04090001" w:tentative="1">
      <w:start w:val="1"/>
      <w:numFmt w:val="bullet"/>
      <w:lvlText w:val=""/>
      <w:lvlJc w:val="left"/>
      <w:pPr>
        <w:ind w:left="2175" w:hanging="420"/>
      </w:pPr>
      <w:rPr>
        <w:rFonts w:ascii="Wingdings" w:hAnsi="Wingdings" w:hint="default"/>
      </w:rPr>
    </w:lvl>
    <w:lvl w:ilvl="4" w:tplc="04090003" w:tentative="1">
      <w:start w:val="1"/>
      <w:numFmt w:val="bullet"/>
      <w:lvlText w:val=""/>
      <w:lvlJc w:val="left"/>
      <w:pPr>
        <w:ind w:left="2595" w:hanging="420"/>
      </w:pPr>
      <w:rPr>
        <w:rFonts w:ascii="Wingdings" w:hAnsi="Wingdings" w:hint="default"/>
      </w:rPr>
    </w:lvl>
    <w:lvl w:ilvl="5" w:tplc="04090005" w:tentative="1">
      <w:start w:val="1"/>
      <w:numFmt w:val="bullet"/>
      <w:lvlText w:val=""/>
      <w:lvlJc w:val="left"/>
      <w:pPr>
        <w:ind w:left="3015" w:hanging="420"/>
      </w:pPr>
      <w:rPr>
        <w:rFonts w:ascii="Wingdings" w:hAnsi="Wingdings" w:hint="default"/>
      </w:rPr>
    </w:lvl>
    <w:lvl w:ilvl="6" w:tplc="04090001" w:tentative="1">
      <w:start w:val="1"/>
      <w:numFmt w:val="bullet"/>
      <w:lvlText w:val=""/>
      <w:lvlJc w:val="left"/>
      <w:pPr>
        <w:ind w:left="3435" w:hanging="420"/>
      </w:pPr>
      <w:rPr>
        <w:rFonts w:ascii="Wingdings" w:hAnsi="Wingdings" w:hint="default"/>
      </w:rPr>
    </w:lvl>
    <w:lvl w:ilvl="7" w:tplc="04090003" w:tentative="1">
      <w:start w:val="1"/>
      <w:numFmt w:val="bullet"/>
      <w:lvlText w:val=""/>
      <w:lvlJc w:val="left"/>
      <w:pPr>
        <w:ind w:left="3855" w:hanging="420"/>
      </w:pPr>
      <w:rPr>
        <w:rFonts w:ascii="Wingdings" w:hAnsi="Wingdings" w:hint="default"/>
      </w:rPr>
    </w:lvl>
    <w:lvl w:ilvl="8" w:tplc="04090005" w:tentative="1">
      <w:start w:val="1"/>
      <w:numFmt w:val="bullet"/>
      <w:lvlText w:val=""/>
      <w:lvlJc w:val="left"/>
      <w:pPr>
        <w:ind w:left="4275" w:hanging="420"/>
      </w:pPr>
      <w:rPr>
        <w:rFonts w:ascii="Wingdings" w:hAnsi="Wingdings" w:hint="default"/>
      </w:rPr>
    </w:lvl>
  </w:abstractNum>
  <w:abstractNum w:abstractNumId="30" w15:restartNumberingAfterBreak="0">
    <w:nsid w:val="3CF71B7D"/>
    <w:multiLevelType w:val="hybridMultilevel"/>
    <w:tmpl w:val="61765EF8"/>
    <w:lvl w:ilvl="0" w:tplc="E2AC7E40">
      <w:start w:val="1"/>
      <w:numFmt w:val="bullet"/>
      <w:lvlText w:val="−"/>
      <w:lvlJc w:val="left"/>
      <w:pPr>
        <w:ind w:left="845" w:hanging="420"/>
      </w:pPr>
      <w:rPr>
        <w:rFonts w:ascii="Arial"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1" w15:restartNumberingAfterBreak="0">
    <w:nsid w:val="41813BE3"/>
    <w:multiLevelType w:val="hybridMultilevel"/>
    <w:tmpl w:val="5F0241E8"/>
    <w:lvl w:ilvl="0" w:tplc="C8D073D6">
      <w:numFmt w:val="bullet"/>
      <w:lvlText w:val=""/>
      <w:lvlJc w:val="left"/>
      <w:pPr>
        <w:ind w:left="360" w:hanging="360"/>
      </w:pPr>
      <w:rPr>
        <w:rFonts w:ascii="Wingdings" w:eastAsia="宋体" w:hAnsi="Wingding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44361E1A"/>
    <w:multiLevelType w:val="hybridMultilevel"/>
    <w:tmpl w:val="EC762FC0"/>
    <w:lvl w:ilvl="0" w:tplc="323EE0EA">
      <w:start w:val="1"/>
      <w:numFmt w:val="decimal"/>
      <w:lvlText w:val="%1."/>
      <w:lvlJc w:val="left"/>
      <w:pPr>
        <w:ind w:left="360" w:hanging="360"/>
      </w:pPr>
      <w:rPr>
        <w:rFonts w:eastAsia="Malgun Gothic"/>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6A144A3"/>
    <w:multiLevelType w:val="hybridMultilevel"/>
    <w:tmpl w:val="EA9AC44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2AB2DB1"/>
    <w:multiLevelType w:val="hybridMultilevel"/>
    <w:tmpl w:val="C576BD62"/>
    <w:lvl w:ilvl="0" w:tplc="9B5EEB06">
      <w:numFmt w:val="bullet"/>
      <w:lvlText w:val="-"/>
      <w:lvlJc w:val="left"/>
      <w:pPr>
        <w:ind w:left="780" w:hanging="36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9"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7762486"/>
    <w:multiLevelType w:val="hybridMultilevel"/>
    <w:tmpl w:val="B56CA888"/>
    <w:lvl w:ilvl="0" w:tplc="7B18A40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BFB6B3B"/>
    <w:multiLevelType w:val="hybridMultilevel"/>
    <w:tmpl w:val="C5587CE0"/>
    <w:lvl w:ilvl="0" w:tplc="2D3C9F9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79924EA"/>
    <w:multiLevelType w:val="hybridMultilevel"/>
    <w:tmpl w:val="A27E2AC2"/>
    <w:lvl w:ilvl="0" w:tplc="3230A7A2">
      <w:start w:val="1"/>
      <w:numFmt w:val="bullet"/>
      <w:lvlText w:val=""/>
      <w:lvlJc w:val="left"/>
      <w:pPr>
        <w:ind w:left="360" w:hanging="360"/>
      </w:pPr>
      <w:rPr>
        <w:rFonts w:ascii="Wingdings" w:eastAsia="Malgun Gothic"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7"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9" w15:restartNumberingAfterBreak="0">
    <w:nsid w:val="760B4A04"/>
    <w:multiLevelType w:val="hybridMultilevel"/>
    <w:tmpl w:val="1D049FA8"/>
    <w:lvl w:ilvl="0" w:tplc="8FCAA31C">
      <w:start w:val="1"/>
      <w:numFmt w:val="bullet"/>
      <w:lvlText w:val="-"/>
      <w:lvlJc w:val="left"/>
      <w:pPr>
        <w:ind w:left="845" w:hanging="420"/>
      </w:pPr>
      <w:rPr>
        <w:rFonts w:ascii="Times New Roman" w:eastAsiaTheme="minorEastAsia" w:hAnsi="Times New Roman" w:cs="Times New Roman" w:hint="default"/>
        <w:b/>
        <w:i/>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0" w15:restartNumberingAfterBreak="0">
    <w:nsid w:val="762C3C3F"/>
    <w:multiLevelType w:val="hybridMultilevel"/>
    <w:tmpl w:val="F95CCAD6"/>
    <w:lvl w:ilvl="0" w:tplc="1C38D130">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AD63E72"/>
    <w:multiLevelType w:val="hybridMultilevel"/>
    <w:tmpl w:val="92AE9BA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3" w15:restartNumberingAfterBreak="0">
    <w:nsid w:val="7B7344C8"/>
    <w:multiLevelType w:val="hybridMultilevel"/>
    <w:tmpl w:val="89CA9C2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5067AE"/>
    <w:multiLevelType w:val="hybridMultilevel"/>
    <w:tmpl w:val="924863DC"/>
    <w:lvl w:ilvl="0" w:tplc="4418BD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E4D2A97"/>
    <w:multiLevelType w:val="hybridMultilevel"/>
    <w:tmpl w:val="4E1282FC"/>
    <w:lvl w:ilvl="0" w:tplc="8FCAA31C">
      <w:start w:val="1"/>
      <w:numFmt w:val="bullet"/>
      <w:lvlText w:val="-"/>
      <w:lvlJc w:val="left"/>
      <w:pPr>
        <w:ind w:left="840" w:hanging="420"/>
      </w:pPr>
      <w:rPr>
        <w:rFonts w:ascii="Times New Roman" w:eastAsiaTheme="minorEastAsia" w:hAnsi="Times New Roman" w:cs="Times New Roman" w:hint="default"/>
        <w:b/>
        <w:i/>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5"/>
  </w:num>
  <w:num w:numId="2">
    <w:abstractNumId w:val="54"/>
  </w:num>
  <w:num w:numId="3">
    <w:abstractNumId w:val="46"/>
  </w:num>
  <w:num w:numId="4">
    <w:abstractNumId w:val="48"/>
  </w:num>
  <w:num w:numId="5">
    <w:abstractNumId w:val="38"/>
  </w:num>
  <w:num w:numId="6">
    <w:abstractNumId w:val="22"/>
  </w:num>
  <w:num w:numId="7">
    <w:abstractNumId w:val="34"/>
  </w:num>
  <w:num w:numId="8">
    <w:abstractNumId w:val="51"/>
  </w:num>
  <w:num w:numId="9">
    <w:abstractNumId w:val="53"/>
  </w:num>
  <w:num w:numId="10">
    <w:abstractNumId w:val="12"/>
  </w:num>
  <w:num w:numId="11">
    <w:abstractNumId w:val="26"/>
  </w:num>
  <w:num w:numId="12">
    <w:abstractNumId w:val="10"/>
  </w:num>
  <w:num w:numId="13">
    <w:abstractNumId w:val="44"/>
  </w:num>
  <w:num w:numId="14">
    <w:abstractNumId w:val="24"/>
  </w:num>
  <w:num w:numId="15">
    <w:abstractNumId w:val="31"/>
  </w:num>
  <w:num w:numId="16">
    <w:abstractNumId w:val="2"/>
  </w:num>
  <w:num w:numId="17">
    <w:abstractNumId w:val="52"/>
  </w:num>
  <w:num w:numId="18">
    <w:abstractNumId w:val="12"/>
  </w:num>
  <w:num w:numId="19">
    <w:abstractNumId w:val="3"/>
  </w:num>
  <w:num w:numId="20">
    <w:abstractNumId w:val="53"/>
  </w:num>
  <w:num w:numId="21">
    <w:abstractNumId w:val="18"/>
  </w:num>
  <w:num w:numId="22">
    <w:abstractNumId w:val="42"/>
  </w:num>
  <w:num w:numId="23">
    <w:abstractNumId w:val="40"/>
  </w:num>
  <w:num w:numId="24">
    <w:abstractNumId w:val="21"/>
  </w:num>
  <w:num w:numId="25">
    <w:abstractNumId w:val="11"/>
  </w:num>
  <w:num w:numId="26">
    <w:abstractNumId w:val="14"/>
  </w:num>
  <w:num w:numId="27">
    <w:abstractNumId w:val="19"/>
  </w:num>
  <w:num w:numId="28">
    <w:abstractNumId w:val="0"/>
  </w:num>
  <w:num w:numId="29">
    <w:abstractNumId w:val="9"/>
  </w:num>
  <w:num w:numId="30">
    <w:abstractNumId w:val="19"/>
  </w:num>
  <w:num w:numId="31">
    <w:abstractNumId w:val="19"/>
  </w:num>
  <w:num w:numId="32">
    <w:abstractNumId w:val="37"/>
  </w:num>
  <w:num w:numId="33">
    <w:abstractNumId w:val="35"/>
  </w:num>
  <w:num w:numId="34">
    <w:abstractNumId w:val="30"/>
  </w:num>
  <w:num w:numId="35">
    <w:abstractNumId w:val="8"/>
  </w:num>
  <w:num w:numId="36">
    <w:abstractNumId w:val="16"/>
  </w:num>
  <w:num w:numId="37">
    <w:abstractNumId w:val="1"/>
  </w:num>
  <w:num w:numId="38">
    <w:abstractNumId w:val="13"/>
  </w:num>
  <w:num w:numId="39">
    <w:abstractNumId w:val="56"/>
  </w:num>
  <w:num w:numId="40">
    <w:abstractNumId w:val="49"/>
  </w:num>
  <w:num w:numId="41">
    <w:abstractNumId w:val="39"/>
  </w:num>
  <w:num w:numId="42">
    <w:abstractNumId w:val="41"/>
  </w:num>
  <w:num w:numId="43">
    <w:abstractNumId w:val="20"/>
  </w:num>
  <w:num w:numId="44">
    <w:abstractNumId w:val="36"/>
  </w:num>
  <w:num w:numId="45">
    <w:abstractNumId w:val="15"/>
  </w:num>
  <w:num w:numId="46">
    <w:abstractNumId w:val="23"/>
  </w:num>
  <w:num w:numId="47">
    <w:abstractNumId w:val="43"/>
  </w:num>
  <w:num w:numId="48">
    <w:abstractNumId w:val="7"/>
  </w:num>
  <w:num w:numId="49">
    <w:abstractNumId w:val="28"/>
  </w:num>
  <w:num w:numId="50">
    <w:abstractNumId w:val="45"/>
  </w:num>
  <w:num w:numId="51">
    <w:abstractNumId w:val="17"/>
  </w:num>
  <w:num w:numId="52">
    <w:abstractNumId w:val="27"/>
  </w:num>
  <w:num w:numId="53">
    <w:abstractNumId w:val="55"/>
  </w:num>
  <w:num w:numId="54">
    <w:abstractNumId w:val="50"/>
  </w:num>
  <w:num w:numId="55">
    <w:abstractNumId w:val="32"/>
  </w:num>
  <w:num w:numId="56">
    <w:abstractNumId w:val="5"/>
  </w:num>
  <w:num w:numId="5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
  </w:num>
  <w:num w:numId="59">
    <w:abstractNumId w:val="6"/>
  </w:num>
  <w:num w:numId="60">
    <w:abstractNumId w:val="29"/>
  </w:num>
  <w:num w:numId="61">
    <w:abstractNumId w:val="4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5D"/>
    <w:rsid w:val="00000B95"/>
    <w:rsid w:val="00000D04"/>
    <w:rsid w:val="00000DB2"/>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1D"/>
    <w:rsid w:val="000543D3"/>
    <w:rsid w:val="000543D4"/>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DF"/>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8C1"/>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147"/>
    <w:rsid w:val="001A6460"/>
    <w:rsid w:val="001A6584"/>
    <w:rsid w:val="001A673E"/>
    <w:rsid w:val="001A69EB"/>
    <w:rsid w:val="001A6ECF"/>
    <w:rsid w:val="001A7102"/>
    <w:rsid w:val="001A7157"/>
    <w:rsid w:val="001A7763"/>
    <w:rsid w:val="001A79E5"/>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8CF"/>
    <w:rsid w:val="001B3964"/>
    <w:rsid w:val="001B417B"/>
    <w:rsid w:val="001B42F6"/>
    <w:rsid w:val="001B4452"/>
    <w:rsid w:val="001B466C"/>
    <w:rsid w:val="001B4945"/>
    <w:rsid w:val="001B4F34"/>
    <w:rsid w:val="001B4FC9"/>
    <w:rsid w:val="001B52EC"/>
    <w:rsid w:val="001B5304"/>
    <w:rsid w:val="001B554A"/>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4C0"/>
    <w:rsid w:val="001C66C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7E0"/>
    <w:rsid w:val="00232A90"/>
    <w:rsid w:val="00233157"/>
    <w:rsid w:val="00233717"/>
    <w:rsid w:val="002339CF"/>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6164"/>
    <w:rsid w:val="0026654D"/>
    <w:rsid w:val="002666B0"/>
    <w:rsid w:val="0026675B"/>
    <w:rsid w:val="00266B13"/>
    <w:rsid w:val="00266D78"/>
    <w:rsid w:val="00266E00"/>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59F"/>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48D5"/>
    <w:rsid w:val="002B4C3B"/>
    <w:rsid w:val="002B538E"/>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B4B"/>
    <w:rsid w:val="00311CCF"/>
    <w:rsid w:val="00312400"/>
    <w:rsid w:val="00312657"/>
    <w:rsid w:val="00312739"/>
    <w:rsid w:val="00312D10"/>
    <w:rsid w:val="00312FF5"/>
    <w:rsid w:val="003132D3"/>
    <w:rsid w:val="00313813"/>
    <w:rsid w:val="00313DBC"/>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2480"/>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229"/>
    <w:rsid w:val="00382261"/>
    <w:rsid w:val="003824C9"/>
    <w:rsid w:val="003824F4"/>
    <w:rsid w:val="00382687"/>
    <w:rsid w:val="0038294F"/>
    <w:rsid w:val="00382A43"/>
    <w:rsid w:val="00382D60"/>
    <w:rsid w:val="00382F29"/>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C1D"/>
    <w:rsid w:val="00397D9E"/>
    <w:rsid w:val="00397FC3"/>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4A7"/>
    <w:rsid w:val="003C25AD"/>
    <w:rsid w:val="003C2754"/>
    <w:rsid w:val="003C2D21"/>
    <w:rsid w:val="003C2E1E"/>
    <w:rsid w:val="003C346D"/>
    <w:rsid w:val="003C3897"/>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8F"/>
    <w:rsid w:val="00411CCD"/>
    <w:rsid w:val="00411CE3"/>
    <w:rsid w:val="00411D77"/>
    <w:rsid w:val="0041235E"/>
    <w:rsid w:val="00412461"/>
    <w:rsid w:val="0041246F"/>
    <w:rsid w:val="004124E5"/>
    <w:rsid w:val="00412546"/>
    <w:rsid w:val="0041271A"/>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3826"/>
    <w:rsid w:val="004B407B"/>
    <w:rsid w:val="004B49E6"/>
    <w:rsid w:val="004B4D69"/>
    <w:rsid w:val="004B53D7"/>
    <w:rsid w:val="004B54AF"/>
    <w:rsid w:val="004B5FC7"/>
    <w:rsid w:val="004B6373"/>
    <w:rsid w:val="004B682C"/>
    <w:rsid w:val="004B6CC9"/>
    <w:rsid w:val="004B733F"/>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487"/>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073"/>
    <w:rsid w:val="005071FF"/>
    <w:rsid w:val="0050736A"/>
    <w:rsid w:val="00507E6C"/>
    <w:rsid w:val="005100F5"/>
    <w:rsid w:val="0051065C"/>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7D5"/>
    <w:rsid w:val="005537E0"/>
    <w:rsid w:val="005547A0"/>
    <w:rsid w:val="00554BE7"/>
    <w:rsid w:val="00554D99"/>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BA1"/>
    <w:rsid w:val="00574CD4"/>
    <w:rsid w:val="00574CD7"/>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209A"/>
    <w:rsid w:val="006420C0"/>
    <w:rsid w:val="006422A9"/>
    <w:rsid w:val="0064255C"/>
    <w:rsid w:val="006425C5"/>
    <w:rsid w:val="0064271E"/>
    <w:rsid w:val="006428B2"/>
    <w:rsid w:val="006428D4"/>
    <w:rsid w:val="006434CF"/>
    <w:rsid w:val="00643660"/>
    <w:rsid w:val="00643714"/>
    <w:rsid w:val="00643A99"/>
    <w:rsid w:val="00643D77"/>
    <w:rsid w:val="00643E0A"/>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626F"/>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5D5"/>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957"/>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98E"/>
    <w:rsid w:val="00794C61"/>
    <w:rsid w:val="007951F3"/>
    <w:rsid w:val="00795597"/>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BC2"/>
    <w:rsid w:val="007A0C54"/>
    <w:rsid w:val="007A0D8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71FA"/>
    <w:rsid w:val="007B74E7"/>
    <w:rsid w:val="007B75ED"/>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178"/>
    <w:rsid w:val="007D4D33"/>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CC"/>
    <w:rsid w:val="00825C78"/>
    <w:rsid w:val="00826156"/>
    <w:rsid w:val="00826290"/>
    <w:rsid w:val="0082692D"/>
    <w:rsid w:val="00826BA4"/>
    <w:rsid w:val="00826DA1"/>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B77"/>
    <w:rsid w:val="00842E70"/>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73C"/>
    <w:rsid w:val="008B5A5F"/>
    <w:rsid w:val="008B5AB0"/>
    <w:rsid w:val="008B6054"/>
    <w:rsid w:val="008B666B"/>
    <w:rsid w:val="008B6893"/>
    <w:rsid w:val="008B68AD"/>
    <w:rsid w:val="008B6B03"/>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4E9"/>
    <w:rsid w:val="008C4924"/>
    <w:rsid w:val="008C4C7E"/>
    <w:rsid w:val="008C4EE5"/>
    <w:rsid w:val="008C4EFB"/>
    <w:rsid w:val="008C51F8"/>
    <w:rsid w:val="008C5669"/>
    <w:rsid w:val="008C5C46"/>
    <w:rsid w:val="008C5D68"/>
    <w:rsid w:val="008C5E30"/>
    <w:rsid w:val="008C5FCD"/>
    <w:rsid w:val="008C6184"/>
    <w:rsid w:val="008C63CE"/>
    <w:rsid w:val="008C6A0D"/>
    <w:rsid w:val="008C6B96"/>
    <w:rsid w:val="008C6FC7"/>
    <w:rsid w:val="008C785E"/>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782"/>
    <w:rsid w:val="009418C2"/>
    <w:rsid w:val="00941AC1"/>
    <w:rsid w:val="00941E66"/>
    <w:rsid w:val="00941F7C"/>
    <w:rsid w:val="0094205F"/>
    <w:rsid w:val="00942C80"/>
    <w:rsid w:val="00943197"/>
    <w:rsid w:val="009435F2"/>
    <w:rsid w:val="00943C23"/>
    <w:rsid w:val="00943F2C"/>
    <w:rsid w:val="009443EA"/>
    <w:rsid w:val="00944D11"/>
    <w:rsid w:val="00945180"/>
    <w:rsid w:val="0094590C"/>
    <w:rsid w:val="009459DF"/>
    <w:rsid w:val="00945E0A"/>
    <w:rsid w:val="00945F4D"/>
    <w:rsid w:val="00946355"/>
    <w:rsid w:val="00946684"/>
    <w:rsid w:val="009468B7"/>
    <w:rsid w:val="009469A2"/>
    <w:rsid w:val="00946BD0"/>
    <w:rsid w:val="00946E53"/>
    <w:rsid w:val="0094724E"/>
    <w:rsid w:val="0094795E"/>
    <w:rsid w:val="00947BB9"/>
    <w:rsid w:val="00947BE6"/>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193"/>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B39"/>
    <w:rsid w:val="00A130D7"/>
    <w:rsid w:val="00A131F6"/>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9AF"/>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37B"/>
    <w:rsid w:val="00A524D9"/>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F9"/>
    <w:rsid w:val="00A75CC1"/>
    <w:rsid w:val="00A75E88"/>
    <w:rsid w:val="00A7664A"/>
    <w:rsid w:val="00A76AA9"/>
    <w:rsid w:val="00A76AF7"/>
    <w:rsid w:val="00A77006"/>
    <w:rsid w:val="00A77401"/>
    <w:rsid w:val="00A8056E"/>
    <w:rsid w:val="00A80AA5"/>
    <w:rsid w:val="00A80C74"/>
    <w:rsid w:val="00A81051"/>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B0F"/>
    <w:rsid w:val="00AC71DB"/>
    <w:rsid w:val="00AC74DA"/>
    <w:rsid w:val="00AC7714"/>
    <w:rsid w:val="00AC7A2B"/>
    <w:rsid w:val="00AC7C25"/>
    <w:rsid w:val="00AC7C89"/>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D1C"/>
    <w:rsid w:val="00AF1258"/>
    <w:rsid w:val="00AF14D7"/>
    <w:rsid w:val="00AF16B0"/>
    <w:rsid w:val="00AF1737"/>
    <w:rsid w:val="00AF1B79"/>
    <w:rsid w:val="00AF1C11"/>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A64"/>
    <w:rsid w:val="00B0103C"/>
    <w:rsid w:val="00B0109B"/>
    <w:rsid w:val="00B0157A"/>
    <w:rsid w:val="00B019DC"/>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4543"/>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B40"/>
    <w:rsid w:val="00B25B5A"/>
    <w:rsid w:val="00B25FDE"/>
    <w:rsid w:val="00B25FF7"/>
    <w:rsid w:val="00B26034"/>
    <w:rsid w:val="00B2621F"/>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FEF"/>
    <w:rsid w:val="00BA335D"/>
    <w:rsid w:val="00BA348A"/>
    <w:rsid w:val="00BA35BC"/>
    <w:rsid w:val="00BA3A30"/>
    <w:rsid w:val="00BA3A83"/>
    <w:rsid w:val="00BA3C1F"/>
    <w:rsid w:val="00BA438F"/>
    <w:rsid w:val="00BA4A4F"/>
    <w:rsid w:val="00BA4BFA"/>
    <w:rsid w:val="00BA5376"/>
    <w:rsid w:val="00BA5462"/>
    <w:rsid w:val="00BA558C"/>
    <w:rsid w:val="00BA621F"/>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EF"/>
    <w:rsid w:val="00BC4740"/>
    <w:rsid w:val="00BC4876"/>
    <w:rsid w:val="00BC5B74"/>
    <w:rsid w:val="00BC66B9"/>
    <w:rsid w:val="00BC67CB"/>
    <w:rsid w:val="00BC6A5F"/>
    <w:rsid w:val="00BC6FD6"/>
    <w:rsid w:val="00BC7284"/>
    <w:rsid w:val="00BC7C94"/>
    <w:rsid w:val="00BD008E"/>
    <w:rsid w:val="00BD0167"/>
    <w:rsid w:val="00BD0582"/>
    <w:rsid w:val="00BD09B1"/>
    <w:rsid w:val="00BD12B3"/>
    <w:rsid w:val="00BD16F6"/>
    <w:rsid w:val="00BD1781"/>
    <w:rsid w:val="00BD17CD"/>
    <w:rsid w:val="00BD1F4F"/>
    <w:rsid w:val="00BD2205"/>
    <w:rsid w:val="00BD25DD"/>
    <w:rsid w:val="00BD28F1"/>
    <w:rsid w:val="00BD2AD9"/>
    <w:rsid w:val="00BD2B45"/>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02E"/>
    <w:rsid w:val="00BF4123"/>
    <w:rsid w:val="00BF49B1"/>
    <w:rsid w:val="00BF5285"/>
    <w:rsid w:val="00BF532A"/>
    <w:rsid w:val="00BF5552"/>
    <w:rsid w:val="00BF562F"/>
    <w:rsid w:val="00BF5EAE"/>
    <w:rsid w:val="00BF60E2"/>
    <w:rsid w:val="00BF616A"/>
    <w:rsid w:val="00BF66A8"/>
    <w:rsid w:val="00BF7243"/>
    <w:rsid w:val="00BF7395"/>
    <w:rsid w:val="00BF73F2"/>
    <w:rsid w:val="00BF79FC"/>
    <w:rsid w:val="00C005DC"/>
    <w:rsid w:val="00C0076C"/>
    <w:rsid w:val="00C009CB"/>
    <w:rsid w:val="00C00B23"/>
    <w:rsid w:val="00C00C07"/>
    <w:rsid w:val="00C01671"/>
    <w:rsid w:val="00C01F5A"/>
    <w:rsid w:val="00C02419"/>
    <w:rsid w:val="00C02554"/>
    <w:rsid w:val="00C02766"/>
    <w:rsid w:val="00C028ED"/>
    <w:rsid w:val="00C02975"/>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87F53"/>
    <w:rsid w:val="00C9004F"/>
    <w:rsid w:val="00C90519"/>
    <w:rsid w:val="00C90E49"/>
    <w:rsid w:val="00C91551"/>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FA"/>
    <w:rsid w:val="00CB0737"/>
    <w:rsid w:val="00CB097A"/>
    <w:rsid w:val="00CB0A3A"/>
    <w:rsid w:val="00CB10F6"/>
    <w:rsid w:val="00CB1C37"/>
    <w:rsid w:val="00CB1E1D"/>
    <w:rsid w:val="00CB1EF1"/>
    <w:rsid w:val="00CB1FAB"/>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E2"/>
    <w:rsid w:val="00D93D98"/>
    <w:rsid w:val="00D93F43"/>
    <w:rsid w:val="00D944E3"/>
    <w:rsid w:val="00D95034"/>
    <w:rsid w:val="00D950A3"/>
    <w:rsid w:val="00D95104"/>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640E"/>
    <w:rsid w:val="00DB662E"/>
    <w:rsid w:val="00DB6795"/>
    <w:rsid w:val="00DB6D4E"/>
    <w:rsid w:val="00DB6F41"/>
    <w:rsid w:val="00DB701B"/>
    <w:rsid w:val="00DB7FD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500A"/>
    <w:rsid w:val="00DD519C"/>
    <w:rsid w:val="00DD53FA"/>
    <w:rsid w:val="00DD5C88"/>
    <w:rsid w:val="00DD5F42"/>
    <w:rsid w:val="00DD617B"/>
    <w:rsid w:val="00DD64FB"/>
    <w:rsid w:val="00DD6A37"/>
    <w:rsid w:val="00DD6AF4"/>
    <w:rsid w:val="00DD70EC"/>
    <w:rsid w:val="00DD7261"/>
    <w:rsid w:val="00DD7E09"/>
    <w:rsid w:val="00DE0463"/>
    <w:rsid w:val="00DE0489"/>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EE"/>
    <w:rsid w:val="00DF0BF4"/>
    <w:rsid w:val="00DF0C51"/>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3F43"/>
    <w:rsid w:val="00E14028"/>
    <w:rsid w:val="00E14A7E"/>
    <w:rsid w:val="00E14BFA"/>
    <w:rsid w:val="00E14E67"/>
    <w:rsid w:val="00E1504F"/>
    <w:rsid w:val="00E151E1"/>
    <w:rsid w:val="00E153A6"/>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B0A"/>
    <w:rsid w:val="00EA5FCC"/>
    <w:rsid w:val="00EA60B8"/>
    <w:rsid w:val="00EA6498"/>
    <w:rsid w:val="00EA65AD"/>
    <w:rsid w:val="00EA6672"/>
    <w:rsid w:val="00EA66D2"/>
    <w:rsid w:val="00EA6744"/>
    <w:rsid w:val="00EA6A48"/>
    <w:rsid w:val="00EA6E19"/>
    <w:rsid w:val="00EA73FC"/>
    <w:rsid w:val="00EA7500"/>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DF4"/>
    <w:rsid w:val="00EC100B"/>
    <w:rsid w:val="00EC12A2"/>
    <w:rsid w:val="00EC1837"/>
    <w:rsid w:val="00EC1EE5"/>
    <w:rsid w:val="00EC257A"/>
    <w:rsid w:val="00EC2D80"/>
    <w:rsid w:val="00EC2E2D"/>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80E"/>
    <w:rsid w:val="00F23B4A"/>
    <w:rsid w:val="00F2467D"/>
    <w:rsid w:val="00F24788"/>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829"/>
    <w:rsid w:val="00F83EFD"/>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C09"/>
    <w:rsid w:val="00FD4D67"/>
    <w:rsid w:val="00FD5032"/>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__1.vsdx"/><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8D8CD3-8248-4C14-9C69-7C3675C6D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3</Pages>
  <Words>1212</Words>
  <Characters>6912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8108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cp:lastModifiedBy>
  <cp:revision>18</cp:revision>
  <cp:lastPrinted>2015-03-27T14:25:00Z</cp:lastPrinted>
  <dcterms:created xsi:type="dcterms:W3CDTF">2020-08-07T02:06:00Z</dcterms:created>
  <dcterms:modified xsi:type="dcterms:W3CDTF">2020-10-23T11:03:00Z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